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E16A12" w:rsidRPr="00140093" w:rsidP="007C588E" w14:paraId="159D94C7" w14:textId="604AFA41">
      <w:pPr>
        <w:spacing w:after="0"/>
        <w:ind w:right="180"/>
        <w:rPr>
          <w:sz w:val="38"/>
          <w:szCs w:val="38"/>
          <w:lang w:val="en-GB"/>
        </w:rPr>
      </w:pPr>
      <w:r w:rsidRPr="00140093" w:rsidR="00615D91">
        <w:rPr>
          <w:rStyle w:val="TitleChar"/>
          <w:rFonts w:eastAsia="Calibri"/>
          <w:sz w:val="38"/>
          <w:szCs w:val="38"/>
          <w:lang w:val="en-GB"/>
        </w:rPr>
        <w:drawing>
          <wp:anchor simplePos="0" relativeHeight="251658240" behindDoc="0" locked="1" layoutInCell="1" allowOverlap="1">
            <wp:simplePos x="0" y="0"/>
            <wp:positionH relativeFrom="margin">
              <wp:posOffset>4445000</wp:posOffset>
            </wp:positionH>
            <wp:positionV relativeFrom="margin">
              <wp:posOffset>5524500</wp:posOffset>
            </wp:positionV>
            <wp:extent cx="1645923" cy="1120142"/>
            <wp:wrapNone/>
            <wp:docPr id="100010"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r w:rsidRPr="00140093">
        <w:rPr>
          <w:noProof/>
          <w:color w:val="FF0000"/>
          <w:sz w:val="38"/>
          <w:szCs w:val="38"/>
          <w:lang w:val="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topMargin">
                  <wp:posOffset>2019300</wp:posOffset>
                </wp:positionV>
                <wp:extent cx="5943600" cy="409575"/>
                <wp:effectExtent l="0" t="0" r="0" b="9525"/>
                <wp:wrapNone/>
                <wp:docPr id="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9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588E" w:rsidRPr="00926090" w:rsidP="007F6CA5" w14:textId="77777777">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P="007F6CA5" w14:textId="77777777">
                            <w:pPr>
                              <w:spacing w:after="0"/>
                              <w:jc w:val="center"/>
                              <w:rPr>
                                <w:rFonts w:asciiTheme="majorHAnsi" w:hAnsiTheme="majorHAnsi" w:cstheme="majorHAnsi"/>
                                <w:b/>
                                <w:szCs w:val="20"/>
                              </w:rPr>
                            </w:pPr>
                            <w:r w:rsidRPr="00926090">
                              <w:rPr>
                                <w:rFonts w:asciiTheme="majorHAnsi" w:hAnsiTheme="majorHAnsi" w:cstheme="majorHAnsi"/>
                                <w:b/>
                                <w:szCs w:val="20"/>
                              </w:rPr>
                              <w:t>RS Risk Solutions Ltd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468pt;height:32.25pt;margin-top:159pt;margin-left:0;mso-height-percent:0;mso-height-relative:page;mso-position-horizontal:center;mso-position-horizontal-relative:margin;mso-position-vertical-relative:top-margin-area;mso-width-percent:0;mso-width-relative:page;mso-wrap-distance-bottom:0;mso-wrap-distance-left:9pt;mso-wrap-distance-right:9pt;mso-wrap-distance-top:0;position:absolute;v-text-anchor:top;z-index:251659264" filled="f" fillcolor="this" stroked="f">
                <v:textbox inset="0,0,0,0">
                  <w:txbxContent>
                    <w:p w:rsidR="007C588E" w:rsidRPr="00926090" w:rsidP="007F6CA5" w14:paraId="31D29547" w14:textId="77777777">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P="007F6CA5" w14:paraId="76B59F3A" w14:textId="77777777">
                      <w:pPr>
                        <w:spacing w:after="0"/>
                        <w:jc w:val="center"/>
                        <w:rPr>
                          <w:rFonts w:asciiTheme="majorHAnsi" w:hAnsiTheme="majorHAnsi" w:cstheme="majorHAnsi"/>
                          <w:b/>
                          <w:szCs w:val="20"/>
                        </w:rPr>
                      </w:pPr>
                      <w:r w:rsidRPr="00926090">
                        <w:rPr>
                          <w:rFonts w:asciiTheme="majorHAnsi" w:hAnsiTheme="majorHAnsi" w:cstheme="majorHAnsi"/>
                          <w:b/>
                          <w:szCs w:val="20"/>
                        </w:rPr>
                        <w:t>RS Risk Solutions Ltd</w:t>
                      </w:r>
                    </w:p>
                  </w:txbxContent>
                </v:textbox>
                <w10:wrap anchorx="margin"/>
              </v:shape>
            </w:pict>
          </mc:Fallback>
        </mc:AlternateContent>
      </w:r>
      <w:r w:rsidRPr="00140093" w:rsidR="00615D91">
        <w:rPr>
          <w:rStyle w:val="TitleChar"/>
          <w:rFonts w:eastAsia="Calibri"/>
          <w:sz w:val="38"/>
          <w:szCs w:val="38"/>
          <w:lang w:val="en-GB"/>
        </w:rPr>
        <w:t>Preventing Employee Fraud in Small Businesses</w:t>
      </w:r>
    </w:p>
    <w:p w:rsidR="003E3F66" w:rsidRPr="00B9503B" w:rsidP="003E3F66" w14:paraId="3B209B94" w14:textId="60D67BE1">
      <w:pPr>
        <w:pStyle w:val="Heading1"/>
        <w:spacing w:before="120"/>
        <w:rPr>
          <w:rFonts w:cs="Arial"/>
          <w:b w:val="0"/>
          <w:color w:val="auto"/>
          <w:sz w:val="20"/>
          <w:szCs w:val="20"/>
          <w:lang w:val="en-GB"/>
        </w:rPr>
      </w:pPr>
      <w:r w:rsidRPr="00B9503B">
        <w:rPr>
          <w:rFonts w:cs="Arial"/>
          <w:b w:val="0"/>
          <w:color w:val="auto"/>
          <w:sz w:val="20"/>
          <w:szCs w:val="20"/>
          <w:lang w:val="en-GB"/>
        </w:rPr>
        <w:t>Employee fraud</w:t>
      </w:r>
      <w:r w:rsidR="008F069A">
        <w:rPr>
          <w:rFonts w:cs="Arial"/>
          <w:b w:val="0"/>
          <w:color w:val="auto"/>
          <w:sz w:val="20"/>
          <w:szCs w:val="20"/>
          <w:lang w:val="en-GB"/>
        </w:rPr>
        <w:t xml:space="preserve"> is </w:t>
      </w:r>
      <w:r w:rsidRPr="00B9503B">
        <w:rPr>
          <w:rFonts w:cs="Arial"/>
          <w:b w:val="0"/>
          <w:color w:val="auto"/>
          <w:sz w:val="20"/>
          <w:szCs w:val="20"/>
          <w:lang w:val="en-GB"/>
        </w:rPr>
        <w:t xml:space="preserve">when an employee knowingly lies to, steals </w:t>
      </w:r>
      <w:r w:rsidRPr="00B9503B">
        <w:rPr>
          <w:rFonts w:cs="Arial"/>
          <w:b w:val="0"/>
          <w:color w:val="auto"/>
          <w:sz w:val="20"/>
          <w:szCs w:val="20"/>
          <w:lang w:val="en-GB"/>
        </w:rPr>
        <w:t>from</w:t>
      </w:r>
      <w:r w:rsidRPr="00B9503B">
        <w:rPr>
          <w:rFonts w:cs="Arial"/>
          <w:b w:val="0"/>
          <w:color w:val="auto"/>
          <w:sz w:val="20"/>
          <w:szCs w:val="20"/>
          <w:lang w:val="en-GB"/>
        </w:rPr>
        <w:t xml:space="preserve"> or deceives their employer to make personal gains. </w:t>
      </w:r>
      <w:r w:rsidR="008F069A">
        <w:rPr>
          <w:rFonts w:cs="Arial"/>
          <w:b w:val="0"/>
          <w:color w:val="auto"/>
          <w:sz w:val="20"/>
          <w:szCs w:val="20"/>
          <w:lang w:val="en-GB"/>
        </w:rPr>
        <w:t>While employee fraud can occur in organisations of all types and sizes, smaller businesses could be more at risk than larger corporations,</w:t>
      </w:r>
      <w:r w:rsidRPr="00B9503B">
        <w:rPr>
          <w:rFonts w:cs="Arial"/>
          <w:b w:val="0"/>
          <w:color w:val="auto"/>
          <w:sz w:val="20"/>
          <w:szCs w:val="20"/>
          <w:lang w:val="en-GB"/>
        </w:rPr>
        <w:t xml:space="preserve"> often due to a lack of basic accounting controls and misplaced or assumed trust. </w:t>
      </w:r>
    </w:p>
    <w:p w:rsidR="003E3F66" w:rsidRPr="00B9503B" w:rsidP="00525FBF" w14:paraId="6CFD448B" w14:textId="0BC913EE">
      <w:pPr>
        <w:pStyle w:val="Heading1"/>
        <w:spacing w:before="120"/>
        <w:rPr>
          <w:rFonts w:cs="Arial"/>
          <w:b w:val="0"/>
          <w:color w:val="auto"/>
          <w:sz w:val="20"/>
          <w:szCs w:val="20"/>
          <w:lang w:val="en-GB"/>
        </w:rPr>
      </w:pPr>
      <w:r w:rsidRPr="00B9503B">
        <w:rPr>
          <w:rFonts w:cs="Arial"/>
          <w:b w:val="0"/>
          <w:color w:val="auto"/>
          <w:sz w:val="20"/>
          <w:szCs w:val="20"/>
          <w:lang w:val="en-GB"/>
        </w:rPr>
        <w:t xml:space="preserve">While employee fraud can </w:t>
      </w:r>
      <w:r w:rsidR="00024BA8">
        <w:rPr>
          <w:rFonts w:cs="Arial"/>
          <w:b w:val="0"/>
          <w:color w:val="auto"/>
          <w:sz w:val="20"/>
          <w:szCs w:val="20"/>
          <w:lang w:val="en-GB"/>
        </w:rPr>
        <w:t>occur</w:t>
      </w:r>
      <w:r w:rsidRPr="00B9503B">
        <w:rPr>
          <w:rFonts w:cs="Arial"/>
          <w:b w:val="0"/>
          <w:color w:val="auto"/>
          <w:sz w:val="20"/>
          <w:szCs w:val="20"/>
          <w:lang w:val="en-GB"/>
        </w:rPr>
        <w:t xml:space="preserve"> in </w:t>
      </w:r>
      <w:r w:rsidR="00024BA8">
        <w:rPr>
          <w:rFonts w:cs="Arial"/>
          <w:b w:val="0"/>
          <w:color w:val="auto"/>
          <w:sz w:val="20"/>
          <w:szCs w:val="20"/>
          <w:lang w:val="en-GB"/>
        </w:rPr>
        <w:t>several</w:t>
      </w:r>
      <w:r w:rsidRPr="00B9503B" w:rsidR="00024BA8">
        <w:rPr>
          <w:rFonts w:cs="Arial"/>
          <w:b w:val="0"/>
          <w:color w:val="auto"/>
          <w:sz w:val="20"/>
          <w:szCs w:val="20"/>
          <w:lang w:val="en-GB"/>
        </w:rPr>
        <w:t xml:space="preserve"> </w:t>
      </w:r>
      <w:r w:rsidRPr="00B9503B">
        <w:rPr>
          <w:rFonts w:cs="Arial"/>
          <w:b w:val="0"/>
          <w:color w:val="auto"/>
          <w:sz w:val="20"/>
          <w:szCs w:val="20"/>
          <w:lang w:val="en-GB"/>
        </w:rPr>
        <w:t>forms, the following are the most common types:</w:t>
      </w:r>
    </w:p>
    <w:p w:rsidR="003E3F66" w:rsidRPr="00B9503B" w:rsidP="00140093" w14:paraId="4B3B8926" w14:textId="7B3A735D">
      <w:pPr>
        <w:pStyle w:val="bullets"/>
        <w:spacing w:before="120"/>
        <w:ind w:left="714" w:hanging="357"/>
        <w:contextualSpacing w:val="0"/>
        <w:rPr>
          <w:lang w:val="en-GB"/>
        </w:rPr>
      </w:pPr>
      <w:r w:rsidRPr="00B9503B">
        <w:rPr>
          <w:b/>
          <w:bCs/>
          <w:lang w:val="en-GB"/>
        </w:rPr>
        <w:t>Asset misappropriation</w:t>
      </w:r>
      <w:r w:rsidRPr="00B9503B">
        <w:rPr>
          <w:lang w:val="en-GB"/>
        </w:rPr>
        <w:t xml:space="preserve">—This type of fraud accounts for </w:t>
      </w:r>
      <w:r w:rsidRPr="00B9503B">
        <w:rPr>
          <w:lang w:val="en-GB"/>
        </w:rPr>
        <w:t>the vast majority of</w:t>
      </w:r>
      <w:r w:rsidRPr="00B9503B">
        <w:rPr>
          <w:lang w:val="en-GB"/>
        </w:rPr>
        <w:t xml:space="preserve"> fraud schemes and includes </w:t>
      </w:r>
      <w:r w:rsidR="00A51FF6">
        <w:rPr>
          <w:lang w:val="en-GB"/>
        </w:rPr>
        <w:t>cheque fraud</w:t>
      </w:r>
      <w:r w:rsidRPr="00B9503B">
        <w:rPr>
          <w:lang w:val="en-GB"/>
        </w:rPr>
        <w:t>, theft of money, inventory theft, payroll fraud and theft of services.</w:t>
      </w:r>
    </w:p>
    <w:p w:rsidR="003E3F66" w:rsidRPr="00B9503B" w:rsidP="00140093" w14:paraId="46094C00" w14:textId="0C68B0B2">
      <w:pPr>
        <w:pStyle w:val="bullets"/>
        <w:spacing w:before="120"/>
        <w:ind w:left="714" w:hanging="357"/>
        <w:contextualSpacing w:val="0"/>
        <w:rPr>
          <w:lang w:val="en-GB"/>
        </w:rPr>
      </w:pPr>
      <w:r w:rsidRPr="00B9503B">
        <w:rPr>
          <w:b/>
          <w:bCs/>
          <w:lang w:val="en-GB"/>
        </w:rPr>
        <w:t>Bribery and corruption</w:t>
      </w:r>
      <w:r w:rsidRPr="00B9503B">
        <w:rPr>
          <w:lang w:val="en-GB"/>
        </w:rPr>
        <w:t>—These methods include kickbacks, bribes to influence decision-making, manipulation of contracts or substitution of inferior goods.</w:t>
      </w:r>
    </w:p>
    <w:p w:rsidR="002D5A72" w:rsidRPr="00B93BBC" w:rsidP="00140093" w14:paraId="30B76A61" w14:textId="274F6486">
      <w:pPr>
        <w:pStyle w:val="bullets"/>
        <w:spacing w:before="120"/>
        <w:ind w:left="714" w:hanging="357"/>
        <w:contextualSpacing w:val="0"/>
        <w:rPr>
          <w:b/>
          <w:lang w:val="en-GB"/>
        </w:rPr>
      </w:pPr>
      <w:r w:rsidRPr="00B9503B">
        <w:rPr>
          <w:b/>
          <w:bCs/>
          <w:lang w:val="en-GB"/>
        </w:rPr>
        <w:t>Financial statement fraud</w:t>
      </w:r>
      <w:r w:rsidRPr="00B9503B">
        <w:rPr>
          <w:lang w:val="en-GB"/>
        </w:rPr>
        <w:t>—This type of fraud is the rarest and costliest. It entails manipulating financial statements to create financial gains for an individual or entity</w:t>
      </w:r>
      <w:r w:rsidRPr="00140093">
        <w:rPr>
          <w:bCs/>
          <w:lang w:val="en-GB"/>
        </w:rPr>
        <w:t>.</w:t>
      </w:r>
    </w:p>
    <w:p w:rsidR="00CE6668" w:rsidP="002D5A72" w14:paraId="2F082C8E" w14:textId="6AF18F66">
      <w:pPr>
        <w:pStyle w:val="bullets"/>
        <w:numPr>
          <w:ilvl w:val="0"/>
          <w:numId w:val="0"/>
        </w:numPr>
        <w:spacing w:before="120"/>
        <w:rPr>
          <w:lang w:val="en-GB"/>
        </w:rPr>
      </w:pPr>
      <w:r w:rsidRPr="00B9503B">
        <w:rPr>
          <w:lang w:val="en-GB"/>
        </w:rPr>
        <w:t xml:space="preserve">It can be difficult for employers to spot employee fraud. </w:t>
      </w:r>
      <w:r w:rsidRPr="00B9503B">
        <w:rPr>
          <w:rStyle w:val="bodyChar"/>
          <w:lang w:val="en-GB"/>
        </w:rPr>
        <w:t xml:space="preserve">Therefore, it’s </w:t>
      </w:r>
      <w:r w:rsidR="00BF3773">
        <w:rPr>
          <w:rStyle w:val="bodyChar"/>
          <w:lang w:val="en-GB"/>
        </w:rPr>
        <w:t>critical</w:t>
      </w:r>
      <w:r w:rsidRPr="00B9503B" w:rsidR="00BF3773">
        <w:rPr>
          <w:lang w:val="en-GB"/>
        </w:rPr>
        <w:t xml:space="preserve"> </w:t>
      </w:r>
      <w:r w:rsidRPr="00B9503B">
        <w:rPr>
          <w:lang w:val="en-GB"/>
        </w:rPr>
        <w:t xml:space="preserve">for small businesses to be able to identify employee </w:t>
      </w:r>
      <w:r w:rsidRPr="00B9503B" w:rsidR="00B9503B">
        <w:rPr>
          <w:lang w:val="en-GB"/>
        </w:rPr>
        <w:t>behaviour</w:t>
      </w:r>
      <w:r w:rsidRPr="00B9503B">
        <w:rPr>
          <w:lang w:val="en-GB"/>
        </w:rPr>
        <w:t xml:space="preserve"> and other signs that may be indicative of fraud occurring within the organ</w:t>
      </w:r>
      <w:r w:rsidRPr="00B9503B" w:rsidR="00B9503B">
        <w:rPr>
          <w:lang w:val="en-GB"/>
        </w:rPr>
        <w:t>isation</w:t>
      </w:r>
      <w:r w:rsidRPr="00B9503B">
        <w:rPr>
          <w:lang w:val="en-GB"/>
        </w:rPr>
        <w:t xml:space="preserve">. </w:t>
      </w:r>
    </w:p>
    <w:p w:rsidR="00CE6668" w:rsidP="002D5A72" w14:paraId="50165E5E" w14:textId="77777777">
      <w:pPr>
        <w:pStyle w:val="bullets"/>
        <w:numPr>
          <w:ilvl w:val="0"/>
          <w:numId w:val="0"/>
        </w:numPr>
        <w:spacing w:before="120"/>
        <w:rPr>
          <w:lang w:val="en-GB"/>
        </w:rPr>
      </w:pPr>
    </w:p>
    <w:p w:rsidR="002D5A72" w:rsidP="002D5A72" w14:paraId="61DF87E2" w14:textId="1DC52424">
      <w:pPr>
        <w:pStyle w:val="bullets"/>
        <w:numPr>
          <w:ilvl w:val="0"/>
          <w:numId w:val="0"/>
        </w:numPr>
        <w:spacing w:before="120"/>
        <w:rPr>
          <w:lang w:val="en-GB"/>
        </w:rPr>
      </w:pPr>
      <w:r w:rsidRPr="00B9503B">
        <w:rPr>
          <w:lang w:val="en-GB"/>
        </w:rPr>
        <w:t>Employers should look out for the following:</w:t>
      </w:r>
    </w:p>
    <w:p w:rsidR="00CE6668" w:rsidRPr="00B9503B" w:rsidP="002D5A72" w14:paraId="78ADD0A0" w14:textId="77777777">
      <w:pPr>
        <w:pStyle w:val="bullets"/>
        <w:numPr>
          <w:ilvl w:val="0"/>
          <w:numId w:val="0"/>
        </w:numPr>
        <w:spacing w:before="120"/>
        <w:rPr>
          <w:lang w:val="en-GB"/>
        </w:rPr>
      </w:pPr>
    </w:p>
    <w:p w:rsidR="002D5A72" w:rsidRPr="00B9503B" w:rsidP="00140093" w14:paraId="6BA5E93D" w14:textId="377D5B55">
      <w:pPr>
        <w:pStyle w:val="bullets"/>
        <w:spacing w:before="120"/>
        <w:ind w:left="714" w:hanging="357"/>
        <w:contextualSpacing w:val="0"/>
        <w:rPr>
          <w:lang w:val="en-GB"/>
        </w:rPr>
      </w:pPr>
      <w:r w:rsidRPr="00B9503B">
        <w:rPr>
          <w:b/>
          <w:bCs/>
          <w:lang w:val="en-GB"/>
        </w:rPr>
        <w:t>An employee living beyond their means</w:t>
      </w:r>
      <w:r w:rsidRPr="00B9503B">
        <w:rPr>
          <w:lang w:val="en-GB"/>
        </w:rPr>
        <w:t xml:space="preserve">—If an employee’s lifestyle suddenly doesn’t match their salary, this could indicate fraud. </w:t>
      </w:r>
    </w:p>
    <w:p w:rsidR="002D5A72" w:rsidRPr="00B9503B" w:rsidP="00140093" w14:paraId="030F22C3" w14:textId="77777777">
      <w:pPr>
        <w:pStyle w:val="bullets"/>
        <w:spacing w:before="120"/>
        <w:ind w:left="714" w:hanging="357"/>
        <w:contextualSpacing w:val="0"/>
        <w:rPr>
          <w:lang w:val="en-GB"/>
        </w:rPr>
      </w:pPr>
      <w:r w:rsidRPr="00B9503B">
        <w:rPr>
          <w:b/>
          <w:bCs/>
          <w:lang w:val="en-GB"/>
        </w:rPr>
        <w:t xml:space="preserve">An employee working longer hours than </w:t>
      </w:r>
      <w:r w:rsidRPr="00B9503B">
        <w:rPr>
          <w:b/>
          <w:bCs/>
          <w:lang w:val="en-GB"/>
        </w:rPr>
        <w:t>usual</w:t>
      </w:r>
      <w:r w:rsidRPr="00B9503B">
        <w:rPr>
          <w:lang w:val="en-GB"/>
        </w:rPr>
        <w:t>—Coming</w:t>
      </w:r>
      <w:r w:rsidRPr="00B9503B">
        <w:rPr>
          <w:lang w:val="en-GB"/>
        </w:rPr>
        <w:t xml:space="preserve"> in early, staying late, working on weekends, or not taking sick leave or annual paid time off could be signs of employee fraud. Fraudsters often avoid taking time off because they don’t want people to review their work. In addition, fraudulent activities often occur outside of regular business hours, when the employee is less likely to get caught. </w:t>
      </w:r>
    </w:p>
    <w:p w:rsidR="002D5A72" w:rsidRPr="00B9503B" w:rsidP="00140093" w14:paraId="76B537A0" w14:textId="77777777">
      <w:pPr>
        <w:pStyle w:val="bullets"/>
        <w:spacing w:before="120"/>
        <w:ind w:left="714" w:hanging="357"/>
        <w:contextualSpacing w:val="0"/>
        <w:rPr>
          <w:lang w:val="en-GB"/>
        </w:rPr>
      </w:pPr>
      <w:r w:rsidRPr="00B9503B">
        <w:rPr>
          <w:b/>
          <w:bCs/>
          <w:lang w:val="en-GB"/>
        </w:rPr>
        <w:t>An employee experiencing financial difficulties or family issues</w:t>
      </w:r>
      <w:r w:rsidRPr="00B9503B">
        <w:rPr>
          <w:lang w:val="en-GB"/>
        </w:rPr>
        <w:t xml:space="preserve">—An employee who is going through financial problems or experiencing family issues might be more inclined to commit fraud to lessen their stress. </w:t>
      </w:r>
    </w:p>
    <w:p w:rsidR="002D5A72" w:rsidRPr="00B9503B" w:rsidP="00140093" w14:paraId="2123FC73" w14:textId="77777777">
      <w:pPr>
        <w:pStyle w:val="bullets"/>
        <w:spacing w:before="120"/>
        <w:ind w:left="714" w:hanging="357"/>
        <w:contextualSpacing w:val="0"/>
        <w:rPr>
          <w:lang w:val="en-GB"/>
        </w:rPr>
      </w:pPr>
      <w:r w:rsidRPr="00B9503B">
        <w:rPr>
          <w:b/>
          <w:bCs/>
          <w:lang w:val="en-GB"/>
        </w:rPr>
        <w:t>An employee being secretive</w:t>
      </w:r>
      <w:r w:rsidRPr="00140093">
        <w:rPr>
          <w:lang w:val="en-GB"/>
        </w:rPr>
        <w:t>—</w:t>
      </w:r>
      <w:r w:rsidRPr="00B9503B">
        <w:rPr>
          <w:lang w:val="en-GB"/>
        </w:rPr>
        <w:t xml:space="preserve">If an employee is reluctant to share their processes or have someone review their work, they may be committing employee fraud. </w:t>
      </w:r>
    </w:p>
    <w:p w:rsidR="008F034D" w:rsidRPr="00B9503B" w:rsidP="00F1334E" w14:paraId="374237EC" w14:textId="77777777">
      <w:pPr>
        <w:pStyle w:val="bullets"/>
        <w:numPr>
          <w:ilvl w:val="0"/>
          <w:numId w:val="0"/>
        </w:numPr>
        <w:ind w:left="720"/>
        <w:rPr>
          <w:lang w:val="en-GB"/>
        </w:rPr>
        <w:sectPr w:rsidSect="00207897">
          <w:headerReference w:type="default" r:id="rId6"/>
          <w:headerReference w:type="first" r:id="rId7"/>
          <w:footerReference w:type="first" r:id="rId8"/>
          <w:pgSz w:w="11906" w:h="16838" w:code="9"/>
          <w:pgMar w:top="4032" w:right="1440" w:bottom="1872" w:left="1440" w:header="720" w:footer="720" w:gutter="0"/>
          <w:cols w:num="2" w:space="720"/>
          <w:titlePg/>
          <w:docGrid w:linePitch="360"/>
        </w:sectPr>
      </w:pPr>
    </w:p>
    <w:p w:rsidR="000F43A1" w:rsidRPr="00B9503B" w:rsidP="00140093" w14:paraId="37C7910F" w14:textId="0C6F45C7">
      <w:pPr>
        <w:pStyle w:val="bullets"/>
        <w:ind w:left="714" w:hanging="357"/>
        <w:contextualSpacing w:val="0"/>
        <w:rPr>
          <w:lang w:val="en-GB"/>
        </w:rPr>
      </w:pPr>
      <w:r w:rsidRPr="00B9503B">
        <w:rPr>
          <w:b/>
          <w:bCs/>
          <w:lang w:val="en-GB"/>
        </w:rPr>
        <w:t>An employee who works in a position to commit fraud</w:t>
      </w:r>
      <w:r w:rsidRPr="00B9503B">
        <w:rPr>
          <w:lang w:val="en-GB"/>
        </w:rPr>
        <w:t>—Often</w:t>
      </w:r>
      <w:r w:rsidR="00B93BBC">
        <w:rPr>
          <w:lang w:val="en-GB"/>
        </w:rPr>
        <w:t>,</w:t>
      </w:r>
      <w:r w:rsidRPr="00B9503B">
        <w:rPr>
          <w:lang w:val="en-GB"/>
        </w:rPr>
        <w:t xml:space="preserve"> employees who have worked at a business the longest are the most likely to commit fraud. This could be because they have more trust, know the company’s </w:t>
      </w:r>
      <w:r w:rsidRPr="00B9503B">
        <w:rPr>
          <w:lang w:val="en-GB"/>
        </w:rPr>
        <w:t>weaknesses</w:t>
      </w:r>
      <w:r w:rsidRPr="00B9503B">
        <w:rPr>
          <w:lang w:val="en-GB"/>
        </w:rPr>
        <w:t xml:space="preserve"> or can control what appears on paper. </w:t>
      </w:r>
    </w:p>
    <w:p w:rsidR="000F43A1" w:rsidRPr="00B9503B" w:rsidP="00140093" w14:paraId="7E14C636" w14:textId="23D49772">
      <w:pPr>
        <w:pStyle w:val="bullets"/>
        <w:ind w:left="714" w:hanging="357"/>
        <w:contextualSpacing w:val="0"/>
        <w:rPr>
          <w:lang w:val="en-GB"/>
        </w:rPr>
      </w:pPr>
      <w:r>
        <w:rPr>
          <w:b/>
          <w:bCs/>
          <w:lang w:val="en-GB"/>
        </w:rPr>
        <w:t xml:space="preserve">Book </w:t>
      </w:r>
      <w:r w:rsidR="00615D91">
        <w:rPr>
          <w:b/>
          <w:bCs/>
          <w:lang w:val="en-GB"/>
        </w:rPr>
        <w:t>d</w:t>
      </w:r>
      <w:r>
        <w:rPr>
          <w:b/>
          <w:bCs/>
          <w:lang w:val="en-GB"/>
        </w:rPr>
        <w:t>ebts</w:t>
      </w:r>
      <w:r w:rsidRPr="00B9503B">
        <w:rPr>
          <w:b/>
          <w:bCs/>
          <w:lang w:val="en-GB"/>
        </w:rPr>
        <w:t xml:space="preserve"> that are suspicious or inconsistent</w:t>
      </w:r>
      <w:r w:rsidRPr="00B9503B">
        <w:rPr>
          <w:lang w:val="en-GB"/>
        </w:rPr>
        <w:t xml:space="preserve">—Excessive or unexplained cash transactions, unreconciled bank account statements, sudden activity in previously inactive accounts, or an unusual increase in expenses, supplies or employee reimbursements can all be indicative of employee fraud. </w:t>
      </w:r>
    </w:p>
    <w:p w:rsidR="000F43A1" w:rsidRPr="00B9503B" w:rsidP="000F43A1" w14:paraId="7E04F6AE" w14:textId="2DC2B413">
      <w:pPr>
        <w:pStyle w:val="body"/>
        <w:rPr>
          <w:lang w:val="en-GB"/>
        </w:rPr>
      </w:pPr>
      <w:r w:rsidRPr="00B9503B">
        <w:rPr>
          <w:lang w:val="en-GB"/>
        </w:rPr>
        <w:t xml:space="preserve">Employee fraud can be particularly devasting for small businesses, as they often have fewer resources available to help them recover from malicious acts. As such, it’s </w:t>
      </w:r>
      <w:r w:rsidR="00CF3E70">
        <w:rPr>
          <w:lang w:val="en-GB"/>
        </w:rPr>
        <w:t>vital</w:t>
      </w:r>
      <w:r w:rsidRPr="00B9503B" w:rsidR="00CF3E70">
        <w:rPr>
          <w:lang w:val="en-GB"/>
        </w:rPr>
        <w:t xml:space="preserve"> </w:t>
      </w:r>
      <w:r w:rsidRPr="00B9503B">
        <w:rPr>
          <w:lang w:val="en-GB"/>
        </w:rPr>
        <w:t>for small businesses to take the following action to prevent employee fraud:</w:t>
      </w:r>
    </w:p>
    <w:p w:rsidR="000F43A1" w:rsidRPr="00B9503B" w:rsidP="00140093" w14:paraId="1F787529" w14:textId="04A9517A">
      <w:pPr>
        <w:pStyle w:val="bullets"/>
        <w:ind w:left="714" w:hanging="357"/>
        <w:contextualSpacing w:val="0"/>
        <w:rPr>
          <w:lang w:val="en-GB"/>
        </w:rPr>
      </w:pPr>
      <w:r w:rsidRPr="00B9503B">
        <w:rPr>
          <w:b/>
          <w:bCs/>
          <w:lang w:val="en-GB"/>
        </w:rPr>
        <w:t>Create a tip hotline.</w:t>
      </w:r>
      <w:r w:rsidRPr="00B9503B">
        <w:rPr>
          <w:lang w:val="en-GB"/>
        </w:rPr>
        <w:t xml:space="preserve"> </w:t>
      </w:r>
      <w:r w:rsidRPr="00B9503B">
        <w:rPr>
          <w:lang w:val="en-GB"/>
        </w:rPr>
        <w:t>Whistleblower</w:t>
      </w:r>
      <w:r w:rsidRPr="00B9503B">
        <w:rPr>
          <w:lang w:val="en-GB"/>
        </w:rPr>
        <w:t xml:space="preserve"> tips are the most common way employee fraud is discovered. Therefore, employers should take tips seriously and set up a hotline to catch fraud earlier and minim</w:t>
      </w:r>
      <w:r w:rsidR="00B9503B">
        <w:rPr>
          <w:lang w:val="en-GB"/>
        </w:rPr>
        <w:t>ise</w:t>
      </w:r>
      <w:r w:rsidRPr="00B9503B">
        <w:rPr>
          <w:lang w:val="en-GB"/>
        </w:rPr>
        <w:t xml:space="preserve"> losses.</w:t>
      </w:r>
    </w:p>
    <w:p w:rsidR="000F43A1" w:rsidRPr="00B9503B" w:rsidP="00140093" w14:paraId="6B337AC9" w14:textId="79005B8D">
      <w:pPr>
        <w:pStyle w:val="bullets"/>
        <w:ind w:left="714" w:hanging="357"/>
        <w:contextualSpacing w:val="0"/>
        <w:rPr>
          <w:lang w:val="en-GB"/>
        </w:rPr>
      </w:pPr>
      <w:r w:rsidRPr="00B9503B">
        <w:rPr>
          <w:b/>
          <w:bCs/>
          <w:lang w:val="en-GB"/>
        </w:rPr>
        <w:t>Conduct internal audits.</w:t>
      </w:r>
      <w:r w:rsidRPr="00B9503B">
        <w:rPr>
          <w:lang w:val="en-GB"/>
        </w:rPr>
        <w:t xml:space="preserve"> Conducting regular audits may not only allow employers to discover any misconduct but also deter employees from committing fraud in the first place. </w:t>
      </w:r>
    </w:p>
    <w:p w:rsidR="00EC6F54" w:rsidRPr="00B9503B" w:rsidP="00140093" w14:paraId="1E625AC2" w14:textId="0B7A3D27">
      <w:pPr>
        <w:pStyle w:val="bullets"/>
        <w:ind w:left="714" w:hanging="357"/>
        <w:contextualSpacing w:val="0"/>
        <w:rPr>
          <w:lang w:val="en-GB"/>
        </w:rPr>
      </w:pPr>
      <w:r w:rsidRPr="00B9503B">
        <w:rPr>
          <w:b/>
          <w:bCs/>
          <w:lang w:val="en-GB"/>
        </w:rPr>
        <w:t>Perform back</w:t>
      </w:r>
      <w:r w:rsidR="00B97848">
        <w:rPr>
          <w:b/>
          <w:bCs/>
          <w:lang w:val="en-GB"/>
        </w:rPr>
        <w:t>ground</w:t>
      </w:r>
      <w:r w:rsidRPr="00B9503B">
        <w:rPr>
          <w:b/>
          <w:bCs/>
          <w:lang w:val="en-GB"/>
        </w:rPr>
        <w:t xml:space="preserve"> </w:t>
      </w:r>
      <w:r w:rsidR="00B97848">
        <w:rPr>
          <w:b/>
          <w:bCs/>
          <w:lang w:val="en-GB"/>
        </w:rPr>
        <w:t>check</w:t>
      </w:r>
      <w:r w:rsidRPr="00B9503B">
        <w:rPr>
          <w:b/>
          <w:bCs/>
          <w:lang w:val="en-GB"/>
        </w:rPr>
        <w:t>s.</w:t>
      </w:r>
      <w:r w:rsidRPr="00B9503B">
        <w:rPr>
          <w:lang w:val="en-GB"/>
        </w:rPr>
        <w:t xml:space="preserve"> Contacting references, performing back</w:t>
      </w:r>
      <w:r w:rsidR="00B97848">
        <w:rPr>
          <w:lang w:val="en-GB"/>
        </w:rPr>
        <w:t>ground</w:t>
      </w:r>
      <w:r w:rsidRPr="00B9503B">
        <w:rPr>
          <w:lang w:val="en-GB"/>
        </w:rPr>
        <w:t xml:space="preserve"> </w:t>
      </w:r>
      <w:r w:rsidR="00B97848">
        <w:rPr>
          <w:lang w:val="en-GB"/>
        </w:rPr>
        <w:t>check</w:t>
      </w:r>
      <w:r w:rsidRPr="00B9503B">
        <w:rPr>
          <w:lang w:val="en-GB"/>
        </w:rPr>
        <w:t>s</w:t>
      </w:r>
      <w:r w:rsidRPr="00B9503B">
        <w:rPr>
          <w:lang w:val="en-GB"/>
        </w:rPr>
        <w:t xml:space="preserve"> and conducting online research can help small businesses vet candidates before hiring them</w:t>
      </w:r>
      <w:r w:rsidRPr="00B9503B" w:rsidR="00313F12">
        <w:rPr>
          <w:lang w:val="en-GB"/>
        </w:rPr>
        <w:t xml:space="preserve">. </w:t>
      </w:r>
    </w:p>
    <w:p w:rsidR="00A760C7" w:rsidRPr="00B9503B" w:rsidP="00140093" w14:paraId="1A324B71" w14:textId="77777777">
      <w:pPr>
        <w:pStyle w:val="bullets"/>
        <w:ind w:left="714" w:hanging="357"/>
        <w:contextualSpacing w:val="0"/>
        <w:rPr>
          <w:lang w:val="en-GB"/>
        </w:rPr>
      </w:pPr>
      <w:r w:rsidRPr="00B9503B">
        <w:rPr>
          <w:b/>
          <w:bCs/>
          <w:lang w:val="en-GB"/>
        </w:rPr>
        <w:t>Implement internal controls.</w:t>
      </w:r>
      <w:r w:rsidRPr="00B9503B">
        <w:rPr>
          <w:lang w:val="en-GB"/>
        </w:rPr>
        <w:t xml:space="preserve"> While employees need a certain level of trust and authority to do their jobs, internal controls can help detect and hopefully deter fraudulent activities. Such controls can include clearly defining what constitutes fraud in the employee handbook, setting up an anonymous hotline and performing monthly bank reconciliations. </w:t>
      </w:r>
    </w:p>
    <w:p w:rsidR="00A760C7" w:rsidRPr="00B9503B" w:rsidP="00140093" w14:paraId="1684EDF8" w14:textId="6B88C846">
      <w:pPr>
        <w:pStyle w:val="bullets"/>
        <w:ind w:left="714" w:hanging="357"/>
        <w:contextualSpacing w:val="0"/>
        <w:rPr>
          <w:lang w:val="en-GB"/>
        </w:rPr>
      </w:pPr>
      <w:r w:rsidRPr="00B9503B">
        <w:rPr>
          <w:b/>
          <w:bCs/>
          <w:lang w:val="en-GB"/>
        </w:rPr>
        <w:t>Create a culture of integrity.</w:t>
      </w:r>
      <w:r w:rsidRPr="00B9503B">
        <w:rPr>
          <w:lang w:val="en-GB"/>
        </w:rPr>
        <w:t xml:space="preserve"> Consistent controls and policies can create a culture that empowers staff to be accountable for their actions and minim</w:t>
      </w:r>
      <w:r w:rsidR="00B9503B">
        <w:rPr>
          <w:lang w:val="en-GB"/>
        </w:rPr>
        <w:t>ise</w:t>
      </w:r>
      <w:r w:rsidRPr="00B9503B">
        <w:rPr>
          <w:lang w:val="en-GB"/>
        </w:rPr>
        <w:t xml:space="preserve"> risk while driving compliance. </w:t>
      </w:r>
    </w:p>
    <w:p w:rsidR="00A760C7" w:rsidRPr="00B9503B" w:rsidP="00140093" w14:paraId="04A9F440" w14:textId="77777777">
      <w:pPr>
        <w:pStyle w:val="bullets"/>
        <w:ind w:left="714" w:hanging="357"/>
        <w:contextualSpacing w:val="0"/>
        <w:rPr>
          <w:lang w:val="en-GB"/>
        </w:rPr>
      </w:pPr>
      <w:r w:rsidRPr="00B9503B">
        <w:rPr>
          <w:b/>
          <w:bCs/>
          <w:lang w:val="en-GB"/>
        </w:rPr>
        <w:t>Purchase insurance.</w:t>
      </w:r>
      <w:r w:rsidRPr="00B9503B">
        <w:rPr>
          <w:lang w:val="en-GB"/>
        </w:rPr>
        <w:t xml:space="preserve"> Insurance, particularly commercial crime insurance, can help small businesses protect themselves from business-related financial losses.  </w:t>
      </w:r>
    </w:p>
    <w:p w:rsidR="00A760C7" w:rsidRPr="00B9503B" w:rsidP="00230EB3" w14:paraId="070BF4B9" w14:textId="77777777">
      <w:pPr>
        <w:pStyle w:val="body"/>
        <w:spacing w:after="120"/>
        <w:rPr>
          <w:lang w:val="en-GB"/>
        </w:rPr>
      </w:pPr>
      <w:r w:rsidRPr="00B9503B">
        <w:rPr>
          <w:lang w:val="en-GB"/>
        </w:rPr>
        <w:t xml:space="preserve">By taking precautions and implementing internal controls, small businesses can effectively limit their risk of employee fraud.  </w:t>
      </w:r>
    </w:p>
    <w:p w:rsidR="00A760C7" w:rsidRPr="00B9503B" w:rsidP="007E025B" w14:paraId="0EF4060B" w14:textId="12B90631">
      <w:pPr>
        <w:pStyle w:val="bullets"/>
        <w:numPr>
          <w:ilvl w:val="0"/>
          <w:numId w:val="0"/>
        </w:numPr>
        <w:rPr>
          <w:lang w:val="en-GB"/>
        </w:rPr>
      </w:pPr>
      <w:r w:rsidRPr="00B9503B">
        <w:rPr>
          <w:lang w:val="en-GB"/>
        </w:rPr>
        <w:t>For more small business insights and risk management guidance, contact us today.</w:t>
      </w:r>
    </w:p>
    <w:sectPr w:rsidSect="00207897">
      <w:headerReference w:type="first" r:id="rId9"/>
      <w:footerReference w:type="first" r:id="rId10"/>
      <w:pgSz w:w="11906" w:h="16838" w:code="9"/>
      <w:pgMar w:top="1728" w:right="720" w:bottom="1872" w:left="720" w:header="720" w:footer="720"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F3" w14:paraId="1EF43EF6"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-125095</wp:posOffset>
              </wp:positionV>
              <wp:extent cx="6858000" cy="29591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295910"/>
                      </a:xfrm>
                      <a:prstGeom prst="rect">
                        <a:avLst/>
                      </a:prstGeom>
                      <a:noFill/>
                      <a:ln w="6350">
                        <a:noFill/>
                      </a:ln>
                    </wps:spPr>
                    <wps:txbx>
                      <w:txbxContent>
                        <w:p w:rsidR="005358F3" w:rsidRPr="00E027F6" w:rsidP="005358F3" w14:textId="596A7960">
                          <w:pPr>
                            <w:jc w:val="center"/>
                            <w:rPr>
                              <w:rFonts w:asciiTheme="majorHAnsi" w:hAnsiTheme="majorHAnsi" w:cstheme="majorHAnsi"/>
                              <w:color w:val="FFFFFF"/>
                              <w:sz w:val="12"/>
                              <w:szCs w:val="12"/>
                            </w:rPr>
                          </w:pPr>
                          <w:r w:rsidRPr="00E027F6">
                            <w:rPr>
                              <w:rFonts w:asciiTheme="majorHAnsi" w:hAnsiTheme="majorHAnsi" w:cstheme="majorHAnsi"/>
                              <w:sz w:val="12"/>
                              <w:szCs w:val="12"/>
                            </w:rPr>
                            <w:t xml:space="preserve">This HR Insights is not intended to be </w:t>
                          </w:r>
                          <w:r w:rsidRPr="00E027F6">
                            <w:rPr>
                              <w:rFonts w:asciiTheme="majorHAnsi" w:hAnsiTheme="majorHAnsi" w:cstheme="majorHAnsi"/>
                              <w:sz w:val="12"/>
                              <w:szCs w:val="12"/>
                            </w:rPr>
                            <w:t>exhaustive</w:t>
                          </w:r>
                          <w:r w:rsidRPr="00E027F6">
                            <w:rPr>
                              <w:rFonts w:asciiTheme="majorHAnsi" w:hAnsiTheme="majorHAnsi" w:cstheme="majorHAnsi"/>
                              <w:sz w:val="12"/>
                              <w:szCs w:val="12"/>
                            </w:rPr>
                            <w:t xml:space="preser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w:t>
                          </w:r>
                          <w:r w:rsidR="005B4C99">
                            <w:rPr>
                              <w:rFonts w:asciiTheme="majorHAnsi" w:hAnsiTheme="majorHAnsi" w:cstheme="majorHAnsi"/>
                              <w:sz w:val="12"/>
                              <w:szCs w:val="12"/>
                            </w:rPr>
                            <w:t>3</w:t>
                          </w:r>
                          <w:r w:rsidRPr="00E027F6">
                            <w:rPr>
                              <w:rFonts w:asciiTheme="majorHAnsi" w:hAnsiTheme="majorHAnsi" w:cstheme="majorHAnsi"/>
                              <w:sz w:val="12"/>
                              <w:szCs w:val="12"/>
                            </w:rPr>
                            <w:t xml:space="preserve"> Zywave, Inc. All rights </w:t>
                          </w:r>
                          <w:r w:rsidRPr="00E027F6" w:rsidR="00B11423">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P="005358F3" w14:textId="7777777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40pt;height:23.3pt;margin-top:-9.8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59264" filled="f" stroked="f" strokeweight="0.5pt">
              <v:textbox>
                <w:txbxContent>
                  <w:p w:rsidR="005358F3" w:rsidRPr="00E027F6" w:rsidP="005358F3" w14:paraId="4FE48C9A" w14:textId="596A7960">
                    <w:pPr>
                      <w:jc w:val="center"/>
                      <w:rPr>
                        <w:rFonts w:asciiTheme="majorHAnsi" w:hAnsiTheme="majorHAnsi" w:cstheme="majorHAnsi"/>
                        <w:color w:val="FFFFFF"/>
                        <w:sz w:val="12"/>
                        <w:szCs w:val="12"/>
                      </w:rPr>
                    </w:pPr>
                    <w:r w:rsidRPr="00E027F6">
                      <w:rPr>
                        <w:rFonts w:asciiTheme="majorHAnsi" w:hAnsiTheme="majorHAnsi" w:cstheme="majorHAnsi"/>
                        <w:sz w:val="12"/>
                        <w:szCs w:val="12"/>
                      </w:rPr>
                      <w:t xml:space="preserve">This HR Insights is not intended to be </w:t>
                    </w:r>
                    <w:r w:rsidRPr="00E027F6">
                      <w:rPr>
                        <w:rFonts w:asciiTheme="majorHAnsi" w:hAnsiTheme="majorHAnsi" w:cstheme="majorHAnsi"/>
                        <w:sz w:val="12"/>
                        <w:szCs w:val="12"/>
                      </w:rPr>
                      <w:t>exhaustive</w:t>
                    </w:r>
                    <w:r w:rsidRPr="00E027F6">
                      <w:rPr>
                        <w:rFonts w:asciiTheme="majorHAnsi" w:hAnsiTheme="majorHAnsi" w:cstheme="majorHAnsi"/>
                        <w:sz w:val="12"/>
                        <w:szCs w:val="12"/>
                      </w:rPr>
                      <w:t xml:space="preser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w:t>
                    </w:r>
                    <w:r w:rsidR="005B4C99">
                      <w:rPr>
                        <w:rFonts w:asciiTheme="majorHAnsi" w:hAnsiTheme="majorHAnsi" w:cstheme="majorHAnsi"/>
                        <w:sz w:val="12"/>
                        <w:szCs w:val="12"/>
                      </w:rPr>
                      <w:t>3</w:t>
                    </w:r>
                    <w:r w:rsidRPr="00E027F6">
                      <w:rPr>
                        <w:rFonts w:asciiTheme="majorHAnsi" w:hAnsiTheme="majorHAnsi" w:cstheme="majorHAnsi"/>
                        <w:sz w:val="12"/>
                        <w:szCs w:val="12"/>
                      </w:rPr>
                      <w:t xml:space="preserve"> </w:t>
                    </w:r>
                    <w:r w:rsidRPr="00E027F6">
                      <w:rPr>
                        <w:rFonts w:asciiTheme="majorHAnsi" w:hAnsiTheme="majorHAnsi" w:cstheme="majorHAnsi"/>
                        <w:sz w:val="12"/>
                        <w:szCs w:val="12"/>
                      </w:rPr>
                      <w:t>Zywave</w:t>
                    </w:r>
                    <w:r w:rsidRPr="00E027F6">
                      <w:rPr>
                        <w:rFonts w:asciiTheme="majorHAnsi" w:hAnsiTheme="majorHAnsi" w:cstheme="majorHAnsi"/>
                        <w:sz w:val="12"/>
                        <w:szCs w:val="12"/>
                      </w:rPr>
                      <w:t xml:space="preserve">, Inc. All rights </w:t>
                    </w:r>
                    <w:r w:rsidRPr="00E027F6" w:rsidR="00B11423">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P="005358F3" w14:paraId="0DF2D0D5" w14:textId="77777777">
                    <w:pPr>
                      <w:jc w:val="center"/>
                      <w:rPr>
                        <w:rFonts w:asciiTheme="majorHAnsi" w:hAnsiTheme="majorHAnsi" w:cstheme="majorHAnsi"/>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F3" w14:paraId="5971E4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6A4" w14:paraId="177B6C99" w14:textId="77777777">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-457200</wp:posOffset>
          </wp:positionV>
          <wp:extent cx="7772090" cy="10058400"/>
          <wp:effectExtent l="0" t="0" r="635" b="0"/>
          <wp:wrapNone/>
          <wp:docPr id="319958855" name="Picture 31995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58855" name="HR Insights header-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634" w:rsidP="00772918" w14:paraId="6339DDBE" w14:textId="77777777">
    <w:pPr>
      <w:pStyle w:val="Header"/>
      <w:tabs>
        <w:tab w:val="clear" w:pos="9360"/>
      </w:tabs>
    </w:pPr>
    <w:r>
      <w:rPr>
        <w:noProof/>
      </w:rPr>
      <w:drawing>
        <wp:anchor distT="0" distB="0" distL="114300" distR="114300" simplePos="0" relativeHeight="251660288" behindDoc="1" locked="0" layoutInCell="1" allowOverlap="1">
          <wp:simplePos x="0" y="0"/>
          <wp:positionH relativeFrom="page">
            <wp:align>left</wp:align>
          </wp:positionH>
          <wp:positionV relativeFrom="paragraph">
            <wp:posOffset>-457200</wp:posOffset>
          </wp:positionV>
          <wp:extent cx="7562896" cy="10689336"/>
          <wp:effectExtent l="0" t="0" r="0" b="0"/>
          <wp:wrapNone/>
          <wp:docPr id="996619037" name="Picture 99661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19037" name="Employee Well-being Insights-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2896" cy="1068933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634" w:rsidP="00772918" w14:paraId="4C20E7F9" w14:textId="77777777">
    <w:pPr>
      <w:pStyle w:val="Header"/>
      <w:tabs>
        <w:tab w:val="clear" w:pos="9360"/>
      </w:tabs>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-457200</wp:posOffset>
          </wp:positionV>
          <wp:extent cx="7698756" cy="1088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e Well-being Insights-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98756" cy="10881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E3B96"/>
    <w:multiLevelType w:val="multilevel"/>
    <w:tmpl w:val="DA80FE46"/>
    <w:numStyleLink w:val="Bulletedlist"/>
  </w:abstractNum>
  <w:abstractNum w:abstractNumId="1">
    <w:nsid w:val="15FE6F36"/>
    <w:multiLevelType w:val="hybridMultilevel"/>
    <w:tmpl w:val="60946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DA461F"/>
    <w:multiLevelType w:val="hybridMultilevel"/>
    <w:tmpl w:val="AEBAC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0666EF"/>
    <w:multiLevelType w:val="multilevel"/>
    <w:tmpl w:val="DA80FE46"/>
    <w:numStyleLink w:val="Bulletedlist"/>
  </w:abstractNum>
  <w:abstractNum w:abstractNumId="4">
    <w:nsid w:val="31E26D0E"/>
    <w:multiLevelType w:val="hybridMultilevel"/>
    <w:tmpl w:val="F20A2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AA2200"/>
    <w:multiLevelType w:val="multilevel"/>
    <w:tmpl w:val="A1C489E0"/>
    <w:lvl w:ilvl="0">
      <w:start w:val="1"/>
      <w:numFmt w:val="bullet"/>
      <w:pStyle w:val="bullets"/>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4C2FCB"/>
    <w:multiLevelType w:val="hybridMultilevel"/>
    <w:tmpl w:val="90360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316276">
    <w:abstractNumId w:val="5"/>
  </w:num>
  <w:num w:numId="2" w16cid:durableId="1574318580">
    <w:abstractNumId w:val="3"/>
  </w:num>
  <w:num w:numId="3" w16cid:durableId="600917668">
    <w:abstractNumId w:val="6"/>
  </w:num>
  <w:num w:numId="4" w16cid:durableId="1775131007">
    <w:abstractNumId w:val="7"/>
  </w:num>
  <w:num w:numId="5" w16cid:durableId="734932044">
    <w:abstractNumId w:val="2"/>
  </w:num>
  <w:num w:numId="6" w16cid:durableId="1093940726">
    <w:abstractNumId w:val="1"/>
  </w:num>
  <w:num w:numId="7" w16cid:durableId="1558122392">
    <w:abstractNumId w:val="0"/>
  </w:num>
  <w:num w:numId="8" w16cid:durableId="1483086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97"/>
    <w:rsid w:val="000106B8"/>
    <w:rsid w:val="000209B4"/>
    <w:rsid w:val="00023E01"/>
    <w:rsid w:val="00024BA8"/>
    <w:rsid w:val="00045BAD"/>
    <w:rsid w:val="00052AFB"/>
    <w:rsid w:val="00054747"/>
    <w:rsid w:val="000B034E"/>
    <w:rsid w:val="000C5757"/>
    <w:rsid w:val="000E21E1"/>
    <w:rsid w:val="000F43A1"/>
    <w:rsid w:val="0010514E"/>
    <w:rsid w:val="001244F7"/>
    <w:rsid w:val="00126F7F"/>
    <w:rsid w:val="00140093"/>
    <w:rsid w:val="001629C2"/>
    <w:rsid w:val="00181550"/>
    <w:rsid w:val="001826D5"/>
    <w:rsid w:val="00192D3B"/>
    <w:rsid w:val="00202BEC"/>
    <w:rsid w:val="00207897"/>
    <w:rsid w:val="00216EF6"/>
    <w:rsid w:val="00221643"/>
    <w:rsid w:val="00230EB3"/>
    <w:rsid w:val="002445DC"/>
    <w:rsid w:val="002606B0"/>
    <w:rsid w:val="002A0EB6"/>
    <w:rsid w:val="002B6BB1"/>
    <w:rsid w:val="002D0EC4"/>
    <w:rsid w:val="002D5A72"/>
    <w:rsid w:val="003124BC"/>
    <w:rsid w:val="00312E69"/>
    <w:rsid w:val="00313F12"/>
    <w:rsid w:val="00320BA5"/>
    <w:rsid w:val="003427A1"/>
    <w:rsid w:val="00387B8C"/>
    <w:rsid w:val="003902EF"/>
    <w:rsid w:val="00394053"/>
    <w:rsid w:val="003B4B47"/>
    <w:rsid w:val="003C2C75"/>
    <w:rsid w:val="003D7C33"/>
    <w:rsid w:val="003E3F66"/>
    <w:rsid w:val="003E4B1E"/>
    <w:rsid w:val="004106C3"/>
    <w:rsid w:val="00421CD2"/>
    <w:rsid w:val="00430BA4"/>
    <w:rsid w:val="004338CD"/>
    <w:rsid w:val="00464114"/>
    <w:rsid w:val="004A43F6"/>
    <w:rsid w:val="004A6551"/>
    <w:rsid w:val="004C342C"/>
    <w:rsid w:val="004C4940"/>
    <w:rsid w:val="004F2798"/>
    <w:rsid w:val="005064AF"/>
    <w:rsid w:val="005236A4"/>
    <w:rsid w:val="00525FBF"/>
    <w:rsid w:val="005358F3"/>
    <w:rsid w:val="005371E8"/>
    <w:rsid w:val="00543480"/>
    <w:rsid w:val="00572E65"/>
    <w:rsid w:val="00575910"/>
    <w:rsid w:val="00577195"/>
    <w:rsid w:val="0059015E"/>
    <w:rsid w:val="00594D43"/>
    <w:rsid w:val="005A3634"/>
    <w:rsid w:val="005B30DA"/>
    <w:rsid w:val="005B4C99"/>
    <w:rsid w:val="00615D91"/>
    <w:rsid w:val="00644F4A"/>
    <w:rsid w:val="00646900"/>
    <w:rsid w:val="00697206"/>
    <w:rsid w:val="006D20D0"/>
    <w:rsid w:val="006D2D71"/>
    <w:rsid w:val="00734638"/>
    <w:rsid w:val="00747EB0"/>
    <w:rsid w:val="00753363"/>
    <w:rsid w:val="00770265"/>
    <w:rsid w:val="00772918"/>
    <w:rsid w:val="007878AD"/>
    <w:rsid w:val="0079281B"/>
    <w:rsid w:val="007C588E"/>
    <w:rsid w:val="007D250C"/>
    <w:rsid w:val="007E025B"/>
    <w:rsid w:val="007E68C8"/>
    <w:rsid w:val="007F6CA5"/>
    <w:rsid w:val="008036C6"/>
    <w:rsid w:val="0081197A"/>
    <w:rsid w:val="00814438"/>
    <w:rsid w:val="00817072"/>
    <w:rsid w:val="008244E9"/>
    <w:rsid w:val="00825F79"/>
    <w:rsid w:val="0084227A"/>
    <w:rsid w:val="00867846"/>
    <w:rsid w:val="008929C0"/>
    <w:rsid w:val="008A4CAA"/>
    <w:rsid w:val="008A7236"/>
    <w:rsid w:val="008C5AD5"/>
    <w:rsid w:val="008D049C"/>
    <w:rsid w:val="008F034D"/>
    <w:rsid w:val="008F069A"/>
    <w:rsid w:val="00926090"/>
    <w:rsid w:val="0094348D"/>
    <w:rsid w:val="00946B54"/>
    <w:rsid w:val="009515D1"/>
    <w:rsid w:val="00962BC8"/>
    <w:rsid w:val="009654A5"/>
    <w:rsid w:val="009E28BF"/>
    <w:rsid w:val="00A04C15"/>
    <w:rsid w:val="00A34DC9"/>
    <w:rsid w:val="00A51FF6"/>
    <w:rsid w:val="00A760C7"/>
    <w:rsid w:val="00A9296E"/>
    <w:rsid w:val="00AB6C62"/>
    <w:rsid w:val="00AC55E8"/>
    <w:rsid w:val="00AE2DE3"/>
    <w:rsid w:val="00AE614B"/>
    <w:rsid w:val="00AF37B5"/>
    <w:rsid w:val="00B11423"/>
    <w:rsid w:val="00B5695E"/>
    <w:rsid w:val="00B84C63"/>
    <w:rsid w:val="00B93BBC"/>
    <w:rsid w:val="00B9503B"/>
    <w:rsid w:val="00B97848"/>
    <w:rsid w:val="00BD3A19"/>
    <w:rsid w:val="00BD440E"/>
    <w:rsid w:val="00BF3773"/>
    <w:rsid w:val="00BF77A6"/>
    <w:rsid w:val="00C01F0F"/>
    <w:rsid w:val="00C1448B"/>
    <w:rsid w:val="00C15712"/>
    <w:rsid w:val="00C2018D"/>
    <w:rsid w:val="00C21711"/>
    <w:rsid w:val="00C823D9"/>
    <w:rsid w:val="00C92365"/>
    <w:rsid w:val="00CA7B5E"/>
    <w:rsid w:val="00CB4ECB"/>
    <w:rsid w:val="00CE3F5F"/>
    <w:rsid w:val="00CE6668"/>
    <w:rsid w:val="00CF3E70"/>
    <w:rsid w:val="00D643C5"/>
    <w:rsid w:val="00D7046A"/>
    <w:rsid w:val="00DD64A5"/>
    <w:rsid w:val="00DF4020"/>
    <w:rsid w:val="00E027F6"/>
    <w:rsid w:val="00E16A12"/>
    <w:rsid w:val="00E34160"/>
    <w:rsid w:val="00E44C19"/>
    <w:rsid w:val="00E933CD"/>
    <w:rsid w:val="00EA0B5C"/>
    <w:rsid w:val="00EC6F54"/>
    <w:rsid w:val="00ED087A"/>
    <w:rsid w:val="00F0547F"/>
    <w:rsid w:val="00F0744C"/>
    <w:rsid w:val="00F1334E"/>
    <w:rsid w:val="00F163B9"/>
    <w:rsid w:val="00F615E4"/>
    <w:rsid w:val="00F62D81"/>
    <w:rsid w:val="00F71144"/>
    <w:rsid w:val="00F80083"/>
    <w:rsid w:val="00FB03F4"/>
    <w:rsid w:val="00FC66DC"/>
    <w:rsid w:val="00FE2894"/>
    <w:rsid w:val="00FE4708"/>
    <w:rsid w:val="00FE6B44"/>
    <w:rsid w:val="00FF72A1"/>
  </w:rsids>
  <w:docVars>
    <w:docVar w:name="__Grammarly_42___1" w:val="H4sIAAAAAAAEAKtWcslP9kxRslIyNDY2sjC3tDQ1MjAxtTAwNDVV0lEKTi0uzszPAykwrAUA9mYs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F2DEC1"/>
  <w15:chartTrackingRefBased/>
  <w15:docId w15:val="{748C449D-6B0F-450E-BA8F-7B506E60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594D43"/>
    <w:pPr>
      <w:spacing w:after="0"/>
      <w:ind w:right="187"/>
      <w:outlineLvl w:val="0"/>
    </w:pPr>
    <w:rPr>
      <w:b/>
      <w:color w:val="55AAA8"/>
    </w:rPr>
  </w:style>
  <w:style w:type="paragraph" w:styleId="Heading2">
    <w:name w:val="heading 2"/>
    <w:basedOn w:val="Normal"/>
    <w:next w:val="Normal"/>
    <w:link w:val="Heading2Char"/>
    <w:uiPriority w:val="9"/>
    <w:unhideWhenUsed/>
    <w:qFormat/>
    <w:rsid w:val="0079281B"/>
    <w:pPr>
      <w:keepNext/>
      <w:keepLines/>
      <w:spacing w:before="40" w:after="0"/>
      <w:outlineLvl w:val="1"/>
    </w:pPr>
    <w:rPr>
      <w:rFonts w:ascii="Calibri Light" w:eastAsia="Times New Roman" w:hAnsi="Calibri Light"/>
      <w:i/>
      <w:color w:val="2B81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qFormat/>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594D43"/>
    <w:rPr>
      <w:b/>
      <w:color w:val="55AAA8"/>
      <w:sz w:val="22"/>
      <w:szCs w:val="22"/>
    </w:rPr>
  </w:style>
  <w:style w:type="paragraph" w:styleId="Subtitle">
    <w:name w:val="Subtitle"/>
    <w:basedOn w:val="Normal"/>
    <w:next w:val="Normal"/>
    <w:link w:val="SubtitleChar"/>
    <w:uiPriority w:val="11"/>
    <w:qFormat/>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79281B"/>
    <w:rPr>
      <w:rFonts w:ascii="Calibri Light" w:eastAsia="Times New Roman" w:hAnsi="Calibri Light"/>
      <w:i/>
      <w:color w:val="2B81BB"/>
      <w:sz w:val="22"/>
      <w:szCs w:val="22"/>
    </w:rPr>
  </w:style>
  <w:style w:type="paragraph" w:styleId="NoSpacing">
    <w:name w:val="No Spacing"/>
    <w:link w:val="NoSpacingChar"/>
    <w:uiPriority w:val="1"/>
    <w:qFormat/>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qFormat/>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uiPriority w:val="34"/>
    <w:qFormat/>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ody">
    <w:name w:val="body"/>
    <w:basedOn w:val="Normal"/>
    <w:link w:val="bodyChar"/>
    <w:qFormat/>
    <w:rsid w:val="004338CD"/>
    <w:rPr>
      <w:rFonts w:cs="Arial"/>
      <w:sz w:val="20"/>
      <w:szCs w:val="20"/>
    </w:rPr>
  </w:style>
  <w:style w:type="paragraph" w:customStyle="1" w:styleId="bullets">
    <w:name w:val="bullets"/>
    <w:basedOn w:val="Normal"/>
    <w:link w:val="bulletsChar"/>
    <w:qFormat/>
    <w:rsid w:val="008F034D"/>
    <w:pPr>
      <w:numPr>
        <w:numId w:val="3"/>
      </w:numPr>
      <w:contextualSpacing/>
    </w:pPr>
    <w:rPr>
      <w:rFonts w:cs="Arial"/>
      <w:sz w:val="20"/>
      <w:szCs w:val="20"/>
    </w:rPr>
  </w:style>
  <w:style w:type="character" w:customStyle="1" w:styleId="bodyChar">
    <w:name w:val="body Char"/>
    <w:basedOn w:val="DefaultParagraphFont"/>
    <w:link w:val="body"/>
    <w:rsid w:val="004338CD"/>
    <w:rPr>
      <w:rFonts w:cs="Arial"/>
    </w:rPr>
  </w:style>
  <w:style w:type="character" w:customStyle="1" w:styleId="bulletsChar">
    <w:name w:val="bullets Char"/>
    <w:basedOn w:val="DefaultParagraphFont"/>
    <w:link w:val="bullets"/>
    <w:rsid w:val="008F034D"/>
    <w:rPr>
      <w:rFonts w:cs="Arial"/>
    </w:rPr>
  </w:style>
  <w:style w:type="paragraph" w:styleId="CommentText">
    <w:name w:val="annotation text"/>
    <w:basedOn w:val="Normal"/>
    <w:link w:val="CommentTextChar"/>
    <w:uiPriority w:val="99"/>
    <w:unhideWhenUsed/>
    <w:rsid w:val="008F034D"/>
    <w:rPr>
      <w:sz w:val="20"/>
      <w:szCs w:val="20"/>
    </w:rPr>
  </w:style>
  <w:style w:type="character" w:customStyle="1" w:styleId="CommentTextChar">
    <w:name w:val="Comment Text Char"/>
    <w:basedOn w:val="DefaultParagraphFont"/>
    <w:link w:val="CommentText"/>
    <w:uiPriority w:val="99"/>
    <w:rsid w:val="008F034D"/>
  </w:style>
  <w:style w:type="paragraph" w:styleId="Revision">
    <w:name w:val="Revision"/>
    <w:hidden/>
    <w:uiPriority w:val="99"/>
    <w:semiHidden/>
    <w:rsid w:val="00B9503B"/>
    <w:pPr>
      <w:spacing w:after="0" w:line="240" w:lineRule="auto"/>
    </w:pPr>
    <w:rPr>
      <w:sz w:val="22"/>
      <w:szCs w:val="22"/>
    </w:rPr>
  </w:style>
  <w:style w:type="character" w:styleId="CommentReference">
    <w:name w:val="annotation reference"/>
    <w:basedOn w:val="DefaultParagraphFont"/>
    <w:uiPriority w:val="99"/>
    <w:semiHidden/>
    <w:unhideWhenUsed/>
    <w:rsid w:val="00B93BBC"/>
    <w:rPr>
      <w:sz w:val="16"/>
      <w:szCs w:val="16"/>
    </w:rPr>
  </w:style>
  <w:style w:type="paragraph" w:styleId="CommentSubject">
    <w:name w:val="annotation subject"/>
    <w:basedOn w:val="CommentText"/>
    <w:next w:val="CommentText"/>
    <w:link w:val="CommentSubjectChar"/>
    <w:uiPriority w:val="99"/>
    <w:semiHidden/>
    <w:unhideWhenUsed/>
    <w:rsid w:val="00B93BBC"/>
    <w:pPr>
      <w:spacing w:line="240" w:lineRule="auto"/>
    </w:pPr>
    <w:rPr>
      <w:b/>
      <w:bCs/>
    </w:rPr>
  </w:style>
  <w:style w:type="character" w:customStyle="1" w:styleId="CommentSubjectChar">
    <w:name w:val="Comment Subject Char"/>
    <w:basedOn w:val="CommentTextChar"/>
    <w:link w:val="CommentSubject"/>
    <w:uiPriority w:val="99"/>
    <w:semiHidden/>
    <w:rsid w:val="00B93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08D2-2F67-48C9-B748-5CC9A3680AF3}">
  <ds:schemaRefs>
    <ds:schemaRef ds:uri="http://schemas.openxmlformats.org/officeDocument/2006/bibliography"/>
  </ds:schemaRefs>
</ds:datastoreItem>
</file>

<file path=docMetadata/LabelInfo.xml><?xml version="1.0" encoding="utf-8"?>
<clbl:labelList xmlns:clbl="http://schemas.microsoft.com/office/2020/mipLabelMetadata">
  <clbl:label id="{bd0c095f-5d66-4273-a209-64796ae91974}" enabled="0" method="" siteId="{bd0c095f-5d66-4273-a209-64796ae9197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Stephanie</dc:creator>
  <cp:lastModifiedBy>Lemner, Morgan</cp:lastModifiedBy>
  <cp:revision>2</cp:revision>
  <cp:lastPrinted>2018-11-01T13:58:00Z</cp:lastPrinted>
  <dcterms:created xsi:type="dcterms:W3CDTF">2023-06-01T12:46:00Z</dcterms:created>
  <dcterms:modified xsi:type="dcterms:W3CDTF">2023-06-01T12:46:00Z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7822a1d9e3613d43b49d0fae543cbe59b1297a86560113bdec0dc7990400146b</vt:lpwstr>
  </property>
</Properties>
</file>