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10C46" w:rsidRPr="00F40EE3" w:rsidP="00D10C46" w14:paraId="43B9CA20" w14:textId="0016F260">
      <w:pPr>
        <w:pStyle w:val="Lists"/>
        <w:rPr>
          <w:rFonts w:asciiTheme="minorHAnsi" w:hAnsiTheme="minorHAns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-315595</wp:posOffset>
                </wp:positionV>
                <wp:extent cx="6096000" cy="311785"/>
                <wp:effectExtent l="0" t="0" r="0" b="0"/>
                <wp:wrapNone/>
                <wp:docPr id="36287183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wps:spPr>
                      <wps:txbx>
                        <w:txbxContent>
                          <w:p w:rsidR="00D10C46" w:rsidRPr="009E6C48" w:rsidP="00D10C46" w14:textId="77777777">
                            <w:pPr>
                              <w:rPr>
                                <w:rFonts w:ascii="Calibri Light" w:hAnsi="Calibri Light" w:cs="Calibri Light"/>
                                <w:sz w:val="20"/>
                                <w:lang w:val="en-CA"/>
                              </w:rPr>
                            </w:pPr>
                            <w:r w:rsidRPr="009E6C48">
                              <w:rPr>
                                <w:rFonts w:ascii="Calibri Light" w:hAnsi="Calibri Light" w:cs="Calibri Light"/>
                                <w:sz w:val="20"/>
                                <w:lang w:val="en-CA"/>
                              </w:rPr>
                              <w:t xml:space="preserve">Presented by </w:t>
                            </w:r>
                            <w:r w:rsidRPr="009E6C48">
                              <w:rPr>
                                <w:rFonts w:ascii="Calibri Light" w:hAnsi="Calibri Light" w:cs="Calibri Light"/>
                                <w:sz w:val="20"/>
                                <w:lang w:val="en-CA"/>
                              </w:rPr>
                              <w:t>RS Risk Solutions Ltd</w:t>
                            </w:r>
                            <w:r w:rsidRPr="009E6C48">
                              <w:rPr>
                                <w:rFonts w:ascii="Calibri Light" w:hAnsi="Calibri Light" w:cs="Calibri Light"/>
                                <w:sz w:val="20"/>
                                <w:lang w:val="en-CA"/>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80pt;height:24.55pt;margin-top:-24.85pt;margin-left:-5.15pt;mso-height-percent:0;mso-height-relative:page;mso-width-percent:0;mso-width-relative:page;mso-wrap-distance-bottom:0;mso-wrap-distance-left:9pt;mso-wrap-distance-right:9pt;mso-wrap-distance-top:0;position:absolute;v-text-anchor:top;z-index:251658240" filled="f" fillcolor="this" stroked="f">
                <v:textbox>
                  <w:txbxContent>
                    <w:p w:rsidR="00D10C46" w:rsidRPr="009E6C48" w:rsidP="00D10C46" w14:paraId="4CC1E26B" w14:textId="77777777">
                      <w:pPr>
                        <w:rPr>
                          <w:rFonts w:ascii="Calibri Light" w:hAnsi="Calibri Light" w:cs="Calibri Light"/>
                          <w:sz w:val="20"/>
                          <w:lang w:val="en-CA"/>
                        </w:rPr>
                      </w:pPr>
                      <w:r w:rsidRPr="009E6C48">
                        <w:rPr>
                          <w:rFonts w:ascii="Calibri Light" w:hAnsi="Calibri Light" w:cs="Calibri Light"/>
                          <w:sz w:val="20"/>
                          <w:lang w:val="en-CA"/>
                        </w:rPr>
                        <w:t xml:space="preserve">Presented by </w:t>
                      </w:r>
                      <w:r w:rsidRPr="009E6C48">
                        <w:rPr>
                          <w:rFonts w:ascii="Calibri Light" w:hAnsi="Calibri Light" w:cs="Calibri Light"/>
                          <w:sz w:val="20"/>
                          <w:lang w:val="en-CA"/>
                        </w:rPr>
                        <w:t>RS Risk Solutions Ltd</w:t>
                      </w:r>
                      <w:r w:rsidRPr="009E6C48">
                        <w:rPr>
                          <w:rFonts w:ascii="Calibri Light" w:hAnsi="Calibri Light" w:cs="Calibri Light"/>
                          <w:sz w:val="20"/>
                          <w:lang w:val="en-CA"/>
                        </w:rPr>
                        <w:t>.</w:t>
                      </w:r>
                    </w:p>
                  </w:txbxContent>
                </v:textbox>
              </v:shape>
            </w:pict>
          </mc:Fallback>
        </mc:AlternateContent>
      </w:r>
      <w:r w:rsidRPr="002C4140">
        <w:rPr>
          <w:rFonts w:asciiTheme="minorHAnsi" w:hAnsiTheme="minorHAnsi"/>
          <w:sz w:val="20"/>
          <w:szCs w:val="20"/>
        </w:rPr>
        <w:t>Identifying and retaining key employees is always important, but especially so during times of high attraction a</w:t>
      </w:r>
      <w:r w:rsidRPr="00F40EE3">
        <w:rPr>
          <w:rFonts w:asciiTheme="minorHAnsi" w:hAnsiTheme="minorHAnsi"/>
          <w:sz w:val="20"/>
          <w:szCs w:val="20"/>
        </w:rPr>
        <w:t xml:space="preserve">nd retention difficulties faced by many employers. In a tight labour market, retaining employees becomes increasingly difficult. </w:t>
      </w:r>
    </w:p>
    <w:p w:rsidR="00AA0111" w:rsidRPr="00F40EE3" w:rsidP="00D10C46" w14:paraId="134BFF2A" w14:textId="77777777">
      <w:pPr>
        <w:pStyle w:val="Lists"/>
        <w:rPr>
          <w:rFonts w:asciiTheme="minorHAnsi" w:hAnsiTheme="minorHAnsi"/>
          <w:sz w:val="20"/>
          <w:szCs w:val="20"/>
        </w:rPr>
      </w:pPr>
    </w:p>
    <w:p w:rsidR="00D10C46" w:rsidRPr="00F40EE3" w:rsidP="00D10C46" w14:paraId="498C1121" w14:textId="1EF81635">
      <w:pPr>
        <w:pStyle w:val="Lists"/>
        <w:rPr>
          <w:rFonts w:asciiTheme="minorHAnsi" w:hAnsiTheme="minorHAnsi"/>
          <w:sz w:val="20"/>
          <w:szCs w:val="20"/>
        </w:rPr>
      </w:pPr>
      <w:r w:rsidRPr="00F40EE3">
        <w:rPr>
          <w:rFonts w:asciiTheme="minorHAnsi" w:hAnsiTheme="minorHAnsi"/>
          <w:sz w:val="20"/>
          <w:szCs w:val="20"/>
        </w:rPr>
        <w:t xml:space="preserve">Key employees are vital to employers’ success, so it is important to identify these workers and understand how to keep them. </w:t>
      </w:r>
      <w:r w:rsidR="008140B5">
        <w:rPr>
          <w:rFonts w:asciiTheme="minorHAnsi" w:hAnsiTheme="minorHAnsi"/>
          <w:sz w:val="20"/>
          <w:szCs w:val="20"/>
        </w:rPr>
        <w:t>They</w:t>
      </w:r>
      <w:r w:rsidRPr="00F40EE3">
        <w:rPr>
          <w:rFonts w:asciiTheme="minorHAnsi" w:hAnsiTheme="minorHAnsi"/>
          <w:sz w:val="20"/>
          <w:szCs w:val="20"/>
        </w:rPr>
        <w:t xml:space="preserve"> possess skills, knowledge and performance abilities that can be linked to their organ</w:t>
      </w:r>
      <w:r w:rsidRPr="00F40EE3" w:rsidR="0001552B">
        <w:rPr>
          <w:rFonts w:asciiTheme="minorHAnsi" w:hAnsiTheme="minorHAnsi"/>
          <w:sz w:val="20"/>
          <w:szCs w:val="20"/>
        </w:rPr>
        <w:t>isation</w:t>
      </w:r>
      <w:r w:rsidRPr="00F40EE3">
        <w:rPr>
          <w:rFonts w:asciiTheme="minorHAnsi" w:hAnsiTheme="minorHAnsi"/>
          <w:sz w:val="20"/>
          <w:szCs w:val="20"/>
        </w:rPr>
        <w:t>s’ overall success. Various attributes may make workers critical to their organ</w:t>
      </w:r>
      <w:r w:rsidRPr="00F40EE3" w:rsidR="0001552B">
        <w:rPr>
          <w:rFonts w:asciiTheme="minorHAnsi" w:hAnsiTheme="minorHAnsi"/>
          <w:sz w:val="20"/>
          <w:szCs w:val="20"/>
        </w:rPr>
        <w:t>isation</w:t>
      </w:r>
      <w:r w:rsidRPr="00F40EE3">
        <w:rPr>
          <w:rFonts w:asciiTheme="minorHAnsi" w:hAnsiTheme="minorHAnsi"/>
          <w:sz w:val="20"/>
          <w:szCs w:val="20"/>
        </w:rPr>
        <w:t>s. Often, these employees have special proprietary knowledge or additional certifications, degrees or licences that help their organ</w:t>
      </w:r>
      <w:r w:rsidRPr="00F40EE3" w:rsidR="0001552B">
        <w:rPr>
          <w:rFonts w:asciiTheme="minorHAnsi" w:hAnsiTheme="minorHAnsi"/>
          <w:sz w:val="20"/>
          <w:szCs w:val="20"/>
        </w:rPr>
        <w:t>isation</w:t>
      </w:r>
      <w:r w:rsidRPr="00F40EE3">
        <w:rPr>
          <w:rFonts w:asciiTheme="minorHAnsi" w:hAnsiTheme="minorHAnsi"/>
          <w:sz w:val="20"/>
          <w:szCs w:val="20"/>
        </w:rPr>
        <w:t>s function more efficiently. Further, key employees may also help establish strong relationships within their organ</w:t>
      </w:r>
      <w:r w:rsidRPr="00F40EE3" w:rsidR="0001552B">
        <w:rPr>
          <w:rFonts w:asciiTheme="minorHAnsi" w:hAnsiTheme="minorHAnsi"/>
          <w:sz w:val="20"/>
          <w:szCs w:val="20"/>
        </w:rPr>
        <w:t>isation</w:t>
      </w:r>
      <w:r w:rsidRPr="00F40EE3">
        <w:rPr>
          <w:rFonts w:asciiTheme="minorHAnsi" w:hAnsiTheme="minorHAnsi"/>
          <w:sz w:val="20"/>
          <w:szCs w:val="20"/>
        </w:rPr>
        <w:t>s and with important external parties (</w:t>
      </w:r>
      <w:r w:rsidRPr="00F40EE3">
        <w:rPr>
          <w:rFonts w:asciiTheme="minorHAnsi" w:hAnsiTheme="minorHAnsi"/>
          <w:sz w:val="20"/>
          <w:szCs w:val="20"/>
        </w:rPr>
        <w:t>eg</w:t>
      </w:r>
      <w:r w:rsidRPr="00F40EE3">
        <w:rPr>
          <w:rFonts w:asciiTheme="minorHAnsi" w:hAnsiTheme="minorHAnsi"/>
          <w:sz w:val="20"/>
          <w:szCs w:val="20"/>
        </w:rPr>
        <w:t xml:space="preserve"> clients</w:t>
      </w:r>
      <w:r w:rsidR="008140B5">
        <w:rPr>
          <w:rFonts w:asciiTheme="minorHAnsi" w:hAnsiTheme="minorHAnsi"/>
          <w:sz w:val="20"/>
          <w:szCs w:val="20"/>
        </w:rPr>
        <w:t xml:space="preserve"> and</w:t>
      </w:r>
      <w:r w:rsidRPr="00F40EE3">
        <w:rPr>
          <w:rFonts w:asciiTheme="minorHAnsi" w:hAnsiTheme="minorHAnsi"/>
          <w:sz w:val="20"/>
          <w:szCs w:val="20"/>
        </w:rPr>
        <w:t xml:space="preserve"> vendors). The primary takeaway is that key employees have a tangible impact on their organ</w:t>
      </w:r>
      <w:r w:rsidRPr="00F40EE3" w:rsidR="0001552B">
        <w:rPr>
          <w:rFonts w:asciiTheme="minorHAnsi" w:hAnsiTheme="minorHAnsi"/>
          <w:sz w:val="20"/>
          <w:szCs w:val="20"/>
        </w:rPr>
        <w:t>isation</w:t>
      </w:r>
      <w:r w:rsidRPr="00F40EE3">
        <w:rPr>
          <w:rFonts w:asciiTheme="minorHAnsi" w:hAnsiTheme="minorHAnsi"/>
          <w:sz w:val="20"/>
          <w:szCs w:val="20"/>
        </w:rPr>
        <w:t>s and are difficult to replace, so employers should prioriti</w:t>
      </w:r>
      <w:r w:rsidRPr="00F40EE3" w:rsidR="00C87C79">
        <w:rPr>
          <w:rFonts w:asciiTheme="minorHAnsi" w:hAnsiTheme="minorHAnsi"/>
          <w:sz w:val="20"/>
          <w:szCs w:val="20"/>
        </w:rPr>
        <w:t>s</w:t>
      </w:r>
      <w:r w:rsidRPr="00F40EE3">
        <w:rPr>
          <w:rFonts w:asciiTheme="minorHAnsi" w:hAnsiTheme="minorHAnsi"/>
          <w:sz w:val="20"/>
          <w:szCs w:val="20"/>
        </w:rPr>
        <w:t xml:space="preserve">e identifying and retaining them effectively. </w:t>
      </w:r>
    </w:p>
    <w:p w:rsidR="0001213B" w:rsidRPr="00F40EE3" w:rsidP="00D10C46" w14:paraId="775DB0D5" w14:textId="77777777">
      <w:pPr>
        <w:pStyle w:val="Lists"/>
        <w:rPr>
          <w:rFonts w:asciiTheme="minorHAnsi" w:hAnsiTheme="minorHAnsi"/>
          <w:sz w:val="20"/>
          <w:szCs w:val="20"/>
        </w:rPr>
      </w:pPr>
    </w:p>
    <w:p w:rsidR="00D10C46" w:rsidRPr="00F40EE3" w:rsidP="00D10C46" w14:paraId="6C8DA033" w14:textId="4D2C0B51">
      <w:pPr>
        <w:pStyle w:val="Lists"/>
        <w:rPr>
          <w:rFonts w:asciiTheme="minorHAnsi" w:hAnsiTheme="minorHAnsi"/>
          <w:sz w:val="20"/>
          <w:szCs w:val="20"/>
        </w:rPr>
      </w:pPr>
      <w:r w:rsidRPr="00F40EE3">
        <w:rPr>
          <w:rFonts w:asciiTheme="minorHAnsi" w:hAnsiTheme="minorHAnsi"/>
          <w:sz w:val="20"/>
          <w:szCs w:val="20"/>
        </w:rPr>
        <w:t xml:space="preserve">Employers can review this checklist to help identify and retain key employees. Employers should consider which of their workers possess the following traits: </w:t>
      </w:r>
    </w:p>
    <w:p w:rsidR="00AA0111" w:rsidRPr="00F40EE3" w:rsidP="00D10C46" w14:paraId="72B24487" w14:textId="77777777">
      <w:pPr>
        <w:pStyle w:val="Lists"/>
        <w:rPr>
          <w:rFonts w:asciiTheme="minorHAnsi" w:hAnsiTheme="minorHAnsi"/>
          <w:sz w:val="20"/>
          <w:szCs w:val="20"/>
        </w:rPr>
      </w:pPr>
    </w:p>
    <w:tbl>
      <w:tblPr>
        <w:tblW w:w="500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8077"/>
        <w:gridCol w:w="956"/>
      </w:tblGrid>
      <w:tr w14:paraId="0EE6D8FA" w14:textId="77777777" w:rsidTr="005840CD">
        <w:tblPrEx>
          <w:tblW w:w="500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471" w:type="pct"/>
            <w:tcBorders>
              <w:top w:val="nil"/>
              <w:left w:val="nil"/>
              <w:bottom w:val="single" w:sz="4" w:space="0" w:color="auto"/>
              <w:right w:val="nil"/>
            </w:tcBorders>
            <w:shd w:val="clear" w:color="auto" w:fill="474747"/>
            <w:vAlign w:val="center"/>
          </w:tcPr>
          <w:p w:rsidR="00D10C46" w:rsidRPr="00F40EE3" w:rsidP="005840CD" w14:paraId="1047C316" w14:textId="77777777">
            <w:pPr>
              <w:pStyle w:val="SectionHeading"/>
              <w:spacing w:after="120"/>
              <w:rPr>
                <w:rFonts w:asciiTheme="majorHAnsi" w:hAnsiTheme="majorHAnsi" w:cstheme="majorHAnsi"/>
                <w:color w:val="FFFFFF" w:themeColor="background1"/>
                <w:sz w:val="24"/>
                <w:szCs w:val="20"/>
                <w:lang w:val="en-GB"/>
              </w:rPr>
            </w:pPr>
            <w:r w:rsidRPr="00F40EE3">
              <w:rPr>
                <w:rFonts w:asciiTheme="majorHAnsi" w:hAnsiTheme="majorHAnsi" w:cstheme="majorHAnsi"/>
                <w:color w:val="FFFFFF" w:themeColor="background1"/>
                <w:sz w:val="24"/>
                <w:szCs w:val="20"/>
                <w:lang w:val="en-GB"/>
              </w:rPr>
              <w:t>Identifying Qualities of Key Employees</w:t>
            </w:r>
          </w:p>
        </w:tc>
        <w:tc>
          <w:tcPr>
            <w:tcW w:w="529" w:type="pct"/>
            <w:tcBorders>
              <w:top w:val="nil"/>
              <w:left w:val="nil"/>
              <w:bottom w:val="single" w:sz="4" w:space="0" w:color="auto"/>
              <w:right w:val="nil"/>
            </w:tcBorders>
            <w:shd w:val="clear" w:color="auto" w:fill="474747"/>
          </w:tcPr>
          <w:p w:rsidR="00D10C46" w:rsidRPr="00F40EE3" w:rsidP="005840CD" w14:paraId="2C13CE87" w14:textId="77777777">
            <w:pPr>
              <w:spacing w:before="60" w:after="120" w:line="280" w:lineRule="atLeast"/>
              <w:jc w:val="center"/>
              <w:rPr>
                <w:rFonts w:asciiTheme="majorHAnsi" w:hAnsiTheme="majorHAnsi" w:cstheme="majorHAnsi"/>
                <w:b/>
                <w:color w:val="FFFFFF" w:themeColor="background1"/>
                <w:szCs w:val="20"/>
                <w:lang w:val="en-GB"/>
              </w:rPr>
            </w:pPr>
          </w:p>
        </w:tc>
      </w:tr>
      <w:tr w14:paraId="2437818E" w14:textId="77777777" w:rsidTr="005840CD">
        <w:tblPrEx>
          <w:tblW w:w="5002" w:type="pct"/>
          <w:tblLook w:val="01E0"/>
        </w:tblPrEx>
        <w:trPr>
          <w:trHeight w:val="211"/>
        </w:trPr>
        <w:tc>
          <w:tcPr>
            <w:tcW w:w="4471" w:type="pct"/>
            <w:tcBorders>
              <w:top w:val="single" w:sz="4" w:space="0" w:color="auto"/>
              <w:left w:val="single" w:sz="4" w:space="0" w:color="auto"/>
              <w:right w:val="single" w:sz="4" w:space="0" w:color="auto"/>
            </w:tcBorders>
            <w:shd w:val="clear" w:color="auto" w:fill="auto"/>
            <w:vAlign w:val="center"/>
          </w:tcPr>
          <w:p w:rsidR="00D10C46" w:rsidRPr="00F40EE3" w:rsidP="00AA0111" w14:paraId="491EB0AF" w14:textId="77777777">
            <w:pPr>
              <w:pStyle w:val="Lists"/>
              <w:spacing w:before="240" w:after="240"/>
              <w:rPr>
                <w:bCs/>
                <w:sz w:val="20"/>
                <w:szCs w:val="20"/>
              </w:rPr>
            </w:pPr>
            <w:r w:rsidRPr="00F40EE3">
              <w:rPr>
                <w:b/>
                <w:bCs/>
                <w:sz w:val="20"/>
                <w:szCs w:val="20"/>
              </w:rPr>
              <w:t>Exceed expectations</w:t>
            </w:r>
            <w:r w:rsidRPr="00F40EE3">
              <w:rPr>
                <w:bCs/>
                <w:sz w:val="20"/>
                <w:szCs w:val="20"/>
              </w:rPr>
              <w:t>—These employees consistently go above and beyond what they are expected to do.</w:t>
            </w:r>
          </w:p>
        </w:tc>
        <w:tc>
          <w:tcPr>
            <w:tcW w:w="529" w:type="pct"/>
            <w:tcBorders>
              <w:top w:val="single" w:sz="4" w:space="0" w:color="auto"/>
              <w:left w:val="single" w:sz="4" w:space="0" w:color="auto"/>
              <w:bottom w:val="single" w:sz="2" w:space="0" w:color="808080"/>
              <w:right w:val="single" w:sz="4" w:space="0" w:color="auto"/>
            </w:tcBorders>
            <w:shd w:val="clear" w:color="auto" w:fill="auto"/>
            <w:vAlign w:val="center"/>
          </w:tcPr>
          <w:p w:rsidR="00D10C46" w:rsidRPr="00F40EE3" w:rsidP="00AA0111" w14:paraId="396CF674" w14:textId="63104679">
            <w:pPr>
              <w:spacing w:before="240" w:after="240" w:line="280" w:lineRule="atLeast"/>
              <w:jc w:val="center"/>
              <w:rPr>
                <w:rFonts w:asciiTheme="majorHAnsi" w:hAnsiTheme="majorHAnsi" w:cstheme="majorHAnsi"/>
                <w:b/>
                <w:color w:val="FFFFFF" w:themeColor="background1"/>
                <w:szCs w:val="20"/>
                <w:lang w:val="en-GB"/>
              </w:rPr>
            </w:pPr>
            <w:r w:rsidRPr="00F40EE3">
              <w:rPr>
                <w:rFonts w:ascii="MS Gothic" w:eastAsia="MS Gothic" w:hAnsi="MS Gothic"/>
                <w:szCs w:val="20"/>
                <w:lang w:val="en-GB"/>
              </w:rPr>
              <w:t>☐</w:t>
            </w:r>
          </w:p>
        </w:tc>
      </w:tr>
      <w:tr w14:paraId="76423366" w14:textId="77777777" w:rsidTr="005840CD">
        <w:tblPrEx>
          <w:tblW w:w="5002" w:type="pct"/>
          <w:tblLook w:val="01E0"/>
        </w:tblPrEx>
        <w:trPr>
          <w:trHeight w:val="403"/>
        </w:trPr>
        <w:tc>
          <w:tcPr>
            <w:tcW w:w="4471" w:type="pct"/>
            <w:tcBorders>
              <w:right w:val="single" w:sz="2" w:space="0" w:color="808080"/>
            </w:tcBorders>
            <w:vAlign w:val="center"/>
          </w:tcPr>
          <w:p w:rsidR="00D10C46" w:rsidRPr="00F40EE3" w:rsidP="00AA0111" w14:paraId="0071EE05" w14:textId="77777777">
            <w:pPr>
              <w:pStyle w:val="Lists"/>
              <w:spacing w:before="240" w:after="240"/>
              <w:rPr>
                <w:bCs/>
                <w:sz w:val="20"/>
                <w:szCs w:val="20"/>
              </w:rPr>
            </w:pPr>
            <w:r w:rsidRPr="00F40EE3">
              <w:rPr>
                <w:b/>
                <w:sz w:val="20"/>
                <w:szCs w:val="20"/>
              </w:rPr>
              <w:t>Enhance strategies</w:t>
            </w:r>
            <w:r w:rsidRPr="00F40EE3">
              <w:rPr>
                <w:bCs/>
                <w:sz w:val="20"/>
                <w:szCs w:val="20"/>
              </w:rPr>
              <w:t xml:space="preserve">—Such employees proactively search for ways to improve their companies’ strategies and operations without being told to do so. </w:t>
            </w:r>
          </w:p>
        </w:tc>
        <w:tc>
          <w:tcPr>
            <w:tcW w:w="529" w:type="pct"/>
            <w:tcBorders>
              <w:left w:val="single" w:sz="2" w:space="0" w:color="808080"/>
            </w:tcBorders>
            <w:vAlign w:val="center"/>
          </w:tcPr>
          <w:p w:rsidR="00D10C46" w:rsidRPr="00F40EE3" w:rsidP="00AA0111" w14:paraId="2DC4E998" w14:textId="5ABF7A97">
            <w:pPr>
              <w:spacing w:before="240" w:after="240"/>
              <w:jc w:val="center"/>
              <w:rPr>
                <w:sz w:val="28"/>
                <w:szCs w:val="28"/>
                <w:lang w:val="en-GB"/>
              </w:rPr>
            </w:pPr>
            <w:r w:rsidRPr="00F40EE3">
              <w:rPr>
                <w:rFonts w:ascii="MS Gothic" w:eastAsia="MS Gothic" w:hAnsi="MS Gothic"/>
                <w:sz w:val="28"/>
                <w:szCs w:val="28"/>
                <w:lang w:val="en-GB"/>
              </w:rPr>
              <w:t>☐</w:t>
            </w:r>
          </w:p>
        </w:tc>
      </w:tr>
      <w:tr w14:paraId="48941D6D" w14:textId="77777777" w:rsidTr="005840CD">
        <w:tblPrEx>
          <w:tblW w:w="5002" w:type="pct"/>
          <w:tblLook w:val="01E0"/>
        </w:tblPrEx>
        <w:trPr>
          <w:trHeight w:val="403"/>
        </w:trPr>
        <w:tc>
          <w:tcPr>
            <w:tcW w:w="4471" w:type="pct"/>
            <w:tcBorders>
              <w:right w:val="single" w:sz="2" w:space="0" w:color="808080"/>
            </w:tcBorders>
            <w:vAlign w:val="center"/>
          </w:tcPr>
          <w:p w:rsidR="00D10C46" w:rsidRPr="00F40EE3" w:rsidP="00AA0111" w14:paraId="64BACAD3" w14:textId="77777777">
            <w:pPr>
              <w:pStyle w:val="Lists"/>
              <w:spacing w:before="240" w:after="240"/>
              <w:rPr>
                <w:sz w:val="20"/>
                <w:szCs w:val="20"/>
              </w:rPr>
            </w:pPr>
            <w:r w:rsidRPr="00F40EE3">
              <w:rPr>
                <w:b/>
                <w:bCs/>
                <w:sz w:val="20"/>
                <w:szCs w:val="20"/>
              </w:rPr>
              <w:t>Increase overall company performance</w:t>
            </w:r>
            <w:r w:rsidRPr="00F40EE3">
              <w:rPr>
                <w:sz w:val="20"/>
                <w:szCs w:val="20"/>
              </w:rPr>
              <w:t xml:space="preserve">—These employees increase the company’s performance, such as by increasing company revenue and helping the company’s bottom line. </w:t>
            </w:r>
          </w:p>
        </w:tc>
        <w:tc>
          <w:tcPr>
            <w:tcW w:w="529" w:type="pct"/>
            <w:tcBorders>
              <w:left w:val="single" w:sz="2" w:space="0" w:color="808080"/>
            </w:tcBorders>
            <w:vAlign w:val="center"/>
          </w:tcPr>
          <w:p w:rsidR="00D10C46" w:rsidRPr="00F40EE3" w:rsidP="00AA0111" w14:paraId="6D03DF22" w14:textId="43FC4C4A">
            <w:pPr>
              <w:spacing w:before="240" w:after="240"/>
              <w:jc w:val="center"/>
              <w:rPr>
                <w:sz w:val="28"/>
                <w:szCs w:val="28"/>
                <w:lang w:val="en-GB"/>
              </w:rPr>
            </w:pPr>
            <w:r w:rsidRPr="00F40EE3">
              <w:rPr>
                <w:rFonts w:ascii="MS Gothic" w:eastAsia="MS Gothic" w:hAnsi="MS Gothic"/>
                <w:sz w:val="28"/>
                <w:szCs w:val="28"/>
                <w:lang w:val="en-GB"/>
              </w:rPr>
              <w:t>☐</w:t>
            </w:r>
          </w:p>
        </w:tc>
      </w:tr>
      <w:tr w14:paraId="27168A98" w14:textId="77777777" w:rsidTr="005840CD">
        <w:tblPrEx>
          <w:tblW w:w="5002" w:type="pct"/>
          <w:tblLook w:val="01E0"/>
        </w:tblPrEx>
        <w:trPr>
          <w:trHeight w:val="403"/>
        </w:trPr>
        <w:tc>
          <w:tcPr>
            <w:tcW w:w="4471"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7539C506" w14:textId="2E78B144">
            <w:pPr>
              <w:pStyle w:val="Lists"/>
              <w:spacing w:before="240" w:after="240"/>
              <w:rPr>
                <w:sz w:val="20"/>
                <w:szCs w:val="20"/>
              </w:rPr>
            </w:pPr>
            <w:r w:rsidRPr="00F40EE3">
              <w:rPr>
                <w:b/>
                <w:bCs/>
                <w:sz w:val="20"/>
                <w:szCs w:val="20"/>
              </w:rPr>
              <w:t>Improve relationships with clients and vendors</w:t>
            </w:r>
            <w:r w:rsidRPr="00F40EE3">
              <w:rPr>
                <w:sz w:val="20"/>
                <w:szCs w:val="20"/>
              </w:rPr>
              <w:t xml:space="preserve">—These individuals connect with clients and vendors </w:t>
            </w:r>
            <w:r w:rsidR="008140B5">
              <w:rPr>
                <w:sz w:val="20"/>
                <w:szCs w:val="20"/>
              </w:rPr>
              <w:t xml:space="preserve">in </w:t>
            </w:r>
            <w:r w:rsidRPr="00F40EE3">
              <w:rPr>
                <w:sz w:val="20"/>
                <w:szCs w:val="20"/>
              </w:rPr>
              <w:t>way</w:t>
            </w:r>
            <w:r w:rsidRPr="00F40EE3" w:rsidR="00C87C79">
              <w:rPr>
                <w:sz w:val="20"/>
                <w:szCs w:val="20"/>
              </w:rPr>
              <w:t>s</w:t>
            </w:r>
            <w:r w:rsidRPr="00F40EE3">
              <w:rPr>
                <w:sz w:val="20"/>
                <w:szCs w:val="20"/>
              </w:rPr>
              <w:t xml:space="preserve"> that drive more business for the company. </w:t>
            </w:r>
          </w:p>
        </w:tc>
        <w:tc>
          <w:tcPr>
            <w:tcW w:w="529"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44485CA2" w14:textId="5D3B5690">
            <w:pPr>
              <w:spacing w:before="240" w:after="240"/>
              <w:jc w:val="center"/>
              <w:rPr>
                <w:sz w:val="28"/>
                <w:szCs w:val="28"/>
                <w:lang w:val="en-GB"/>
              </w:rPr>
            </w:pPr>
            <w:r w:rsidRPr="00F40EE3">
              <w:rPr>
                <w:rFonts w:ascii="Segoe UI Symbol" w:hAnsi="Segoe UI Symbol" w:cs="Segoe UI Symbol"/>
                <w:sz w:val="28"/>
                <w:szCs w:val="28"/>
                <w:lang w:val="en-GB"/>
              </w:rPr>
              <w:t>☐</w:t>
            </w:r>
          </w:p>
        </w:tc>
      </w:tr>
      <w:tr w14:paraId="1D127D62" w14:textId="77777777" w:rsidTr="005840CD">
        <w:tblPrEx>
          <w:tblW w:w="5002" w:type="pct"/>
          <w:tblLook w:val="01E0"/>
        </w:tblPrEx>
        <w:trPr>
          <w:trHeight w:val="403"/>
        </w:trPr>
        <w:tc>
          <w:tcPr>
            <w:tcW w:w="4471"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26CFB798" w14:textId="1F0CD41C">
            <w:pPr>
              <w:pStyle w:val="Lists"/>
              <w:spacing w:before="240" w:after="240"/>
              <w:rPr>
                <w:sz w:val="20"/>
                <w:szCs w:val="20"/>
              </w:rPr>
            </w:pPr>
            <w:r w:rsidRPr="00F40EE3">
              <w:rPr>
                <w:b/>
                <w:bCs/>
                <w:sz w:val="20"/>
                <w:szCs w:val="20"/>
              </w:rPr>
              <w:t>Foster connections between various teams</w:t>
            </w:r>
            <w:r w:rsidRPr="00F40EE3">
              <w:rPr>
                <w:sz w:val="20"/>
                <w:szCs w:val="20"/>
              </w:rPr>
              <w:t xml:space="preserve">—These team members reach out to and connect with their </w:t>
            </w:r>
            <w:r w:rsidRPr="00F40EE3" w:rsidR="00C87C79">
              <w:rPr>
                <w:sz w:val="20"/>
                <w:szCs w:val="20"/>
              </w:rPr>
              <w:t>colleagues</w:t>
            </w:r>
            <w:r w:rsidRPr="00F40EE3">
              <w:rPr>
                <w:sz w:val="20"/>
                <w:szCs w:val="20"/>
              </w:rPr>
              <w:t xml:space="preserve"> to create an inclusive culture.</w:t>
            </w:r>
          </w:p>
        </w:tc>
        <w:tc>
          <w:tcPr>
            <w:tcW w:w="529"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09C31BE9" w14:textId="36B7214E">
            <w:pPr>
              <w:spacing w:before="240" w:after="240"/>
              <w:jc w:val="center"/>
              <w:rPr>
                <w:sz w:val="28"/>
                <w:szCs w:val="28"/>
                <w:lang w:val="en-GB"/>
              </w:rPr>
            </w:pPr>
            <w:r w:rsidRPr="00F40EE3">
              <w:rPr>
                <w:rFonts w:ascii="Segoe UI Symbol" w:hAnsi="Segoe UI Symbol" w:cs="Segoe UI Symbol"/>
                <w:sz w:val="28"/>
                <w:szCs w:val="28"/>
                <w:lang w:val="en-GB"/>
              </w:rPr>
              <w:t>☐</w:t>
            </w:r>
          </w:p>
        </w:tc>
      </w:tr>
      <w:tr w14:paraId="7D069134" w14:textId="77777777" w:rsidTr="005840CD">
        <w:tblPrEx>
          <w:tblW w:w="5002" w:type="pct"/>
          <w:tblLook w:val="01E0"/>
        </w:tblPrEx>
        <w:trPr>
          <w:trHeight w:val="403"/>
        </w:trPr>
        <w:tc>
          <w:tcPr>
            <w:tcW w:w="4471"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6960D3DE" w14:textId="77777777">
            <w:pPr>
              <w:pStyle w:val="Lists"/>
              <w:spacing w:before="240" w:after="240"/>
              <w:rPr>
                <w:sz w:val="20"/>
                <w:szCs w:val="20"/>
              </w:rPr>
            </w:pPr>
            <w:r w:rsidRPr="00F40EE3">
              <w:rPr>
                <w:b/>
                <w:bCs/>
                <w:sz w:val="20"/>
                <w:szCs w:val="20"/>
              </w:rPr>
              <w:t>Show up consistently and on time</w:t>
            </w:r>
            <w:r w:rsidRPr="00F40EE3">
              <w:rPr>
                <w:sz w:val="20"/>
                <w:szCs w:val="20"/>
              </w:rPr>
              <w:t xml:space="preserve">—Such employees are always punctual and ready to work. </w:t>
            </w:r>
          </w:p>
        </w:tc>
        <w:tc>
          <w:tcPr>
            <w:tcW w:w="529" w:type="pct"/>
            <w:tcBorders>
              <w:top w:val="single" w:sz="2" w:space="0" w:color="808080"/>
              <w:left w:val="single" w:sz="2" w:space="0" w:color="808080"/>
              <w:bottom w:val="single" w:sz="2" w:space="0" w:color="808080"/>
              <w:right w:val="single" w:sz="2" w:space="0" w:color="808080"/>
            </w:tcBorders>
            <w:vAlign w:val="center"/>
          </w:tcPr>
          <w:p w:rsidR="00D10C46" w:rsidRPr="00F40EE3" w:rsidP="00AA0111" w14:paraId="42ACDF7D" w14:textId="7437A155">
            <w:pPr>
              <w:spacing w:before="240" w:after="240"/>
              <w:jc w:val="center"/>
              <w:rPr>
                <w:sz w:val="28"/>
                <w:szCs w:val="28"/>
                <w:lang w:val="en-GB"/>
              </w:rPr>
            </w:pPr>
            <w:r w:rsidRPr="00F40EE3">
              <w:rPr>
                <w:rFonts w:ascii="MS Gothic" w:eastAsia="MS Gothic" w:hAnsi="MS Gothic"/>
                <w:sz w:val="28"/>
                <w:szCs w:val="28"/>
                <w:lang w:val="en-GB"/>
              </w:rPr>
              <w:t>☐</w:t>
            </w:r>
          </w:p>
        </w:tc>
      </w:tr>
    </w:tbl>
    <w:p w:rsidR="00D10C46" w:rsidRPr="00F40EE3" w:rsidP="00D10C46" w14:paraId="7FFD6D13" w14:textId="77777777">
      <w:pPr>
        <w:rPr>
          <w:rFonts w:asciiTheme="majorHAnsi" w:hAnsiTheme="majorHAnsi" w:cstheme="majorHAnsi"/>
          <w:sz w:val="32"/>
          <w:szCs w:val="28"/>
          <w:lang w:val="en-GB"/>
        </w:rPr>
      </w:pPr>
    </w:p>
    <w:p w:rsidR="00AA0111" w:rsidRPr="00F40EE3" w:rsidP="00D10C46" w14:paraId="02306EF1" w14:textId="77777777">
      <w:pPr>
        <w:pStyle w:val="Lists"/>
        <w:rPr>
          <w:rFonts w:asciiTheme="minorHAnsi" w:hAnsiTheme="minorHAnsi"/>
          <w:sz w:val="20"/>
          <w:szCs w:val="20"/>
        </w:rPr>
      </w:pPr>
    </w:p>
    <w:p w:rsidR="00D10C46" w:rsidRPr="00F40EE3" w:rsidP="00D10C46" w14:paraId="34FAC1DE" w14:textId="77777777">
      <w:pPr>
        <w:rPr>
          <w:rFonts w:asciiTheme="majorHAnsi" w:hAnsiTheme="majorHAnsi" w:cstheme="majorHAnsi"/>
          <w:sz w:val="32"/>
          <w:szCs w:val="28"/>
          <w:lang w:val="en-GB"/>
        </w:rPr>
        <w:sectPr w:rsidSect="001C351B">
          <w:headerReference w:type="default" r:id="rId5"/>
          <w:footerReference w:type="default" r:id="rId6"/>
          <w:headerReference w:type="first" r:id="rId7"/>
          <w:footerReference w:type="first" r:id="rId8"/>
          <w:pgSz w:w="11909" w:h="16834" w:code="9"/>
          <w:pgMar w:top="2592" w:right="1440" w:bottom="1440" w:left="1440" w:header="720" w:footer="720" w:gutter="0"/>
          <w:cols w:space="720"/>
          <w:docGrid w:linePitch="360"/>
        </w:sectPr>
      </w:pPr>
    </w:p>
    <w:tbl>
      <w:tblPr>
        <w:tblpPr w:leftFromText="187" w:rightFromText="187" w:vertAnchor="text" w:horzAnchor="margin" w:tblpY="1109"/>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8071"/>
        <w:gridCol w:w="955"/>
      </w:tblGrid>
      <w:tr w14:paraId="2819A82E" w14:textId="77777777" w:rsidTr="00AA0111">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4471" w:type="pct"/>
            <w:tcBorders>
              <w:top w:val="nil"/>
              <w:left w:val="nil"/>
              <w:right w:val="nil"/>
            </w:tcBorders>
            <w:shd w:val="clear" w:color="auto" w:fill="474747"/>
            <w:vAlign w:val="center"/>
          </w:tcPr>
          <w:p w:rsidR="00D10C46" w:rsidRPr="00F40EE3" w:rsidP="00AA0111" w14:paraId="12EC2623" w14:textId="77777777">
            <w:pPr>
              <w:pStyle w:val="SectionHeading"/>
              <w:spacing w:after="120"/>
              <w:rPr>
                <w:rFonts w:asciiTheme="majorHAnsi" w:hAnsiTheme="majorHAnsi" w:cstheme="majorHAnsi"/>
                <w:color w:val="FFFFFF" w:themeColor="background1"/>
                <w:sz w:val="24"/>
                <w:szCs w:val="20"/>
                <w:lang w:val="en-GB"/>
              </w:rPr>
            </w:pPr>
            <w:r w:rsidRPr="00F40EE3">
              <w:rPr>
                <w:rFonts w:asciiTheme="majorHAnsi" w:hAnsiTheme="majorHAnsi" w:cstheme="majorHAnsi"/>
                <w:color w:val="FFFFFF" w:themeColor="background1"/>
                <w:sz w:val="24"/>
                <w:szCs w:val="20"/>
                <w:lang w:val="en-GB"/>
              </w:rPr>
              <w:t>Retaining Key Employees</w:t>
            </w:r>
          </w:p>
        </w:tc>
        <w:tc>
          <w:tcPr>
            <w:tcW w:w="529" w:type="pct"/>
            <w:tcBorders>
              <w:top w:val="nil"/>
              <w:left w:val="nil"/>
              <w:bottom w:val="single" w:sz="2" w:space="0" w:color="808080"/>
              <w:right w:val="nil"/>
            </w:tcBorders>
            <w:shd w:val="clear" w:color="auto" w:fill="474747"/>
          </w:tcPr>
          <w:p w:rsidR="00D10C46" w:rsidRPr="00F40EE3" w:rsidP="00AA0111" w14:paraId="087FC0F2" w14:textId="77777777">
            <w:pPr>
              <w:spacing w:before="60" w:after="120" w:line="280" w:lineRule="atLeast"/>
              <w:jc w:val="center"/>
              <w:rPr>
                <w:rFonts w:asciiTheme="majorHAnsi" w:hAnsiTheme="majorHAnsi" w:cstheme="majorHAnsi"/>
                <w:b/>
                <w:color w:val="FFFFFF" w:themeColor="background1"/>
                <w:szCs w:val="20"/>
                <w:lang w:val="en-GB"/>
              </w:rPr>
            </w:pPr>
          </w:p>
        </w:tc>
      </w:tr>
      <w:tr w14:paraId="6FDC578A" w14:textId="77777777" w:rsidTr="00AA0111">
        <w:tblPrEx>
          <w:tblW w:w="5000" w:type="pct"/>
          <w:tblLook w:val="01E0"/>
        </w:tblPrEx>
        <w:trPr>
          <w:trHeight w:val="403"/>
        </w:trPr>
        <w:tc>
          <w:tcPr>
            <w:tcW w:w="4471" w:type="pct"/>
            <w:tcBorders>
              <w:right w:val="single" w:sz="2" w:space="0" w:color="808080"/>
            </w:tcBorders>
            <w:vAlign w:val="center"/>
          </w:tcPr>
          <w:p w:rsidR="00D10C46" w:rsidRPr="00F40EE3" w:rsidP="00AA0111" w14:paraId="7B55C340" w14:textId="61A04896">
            <w:pPr>
              <w:pStyle w:val="Lists"/>
              <w:spacing w:before="240" w:after="240"/>
              <w:rPr>
                <w:sz w:val="20"/>
                <w:szCs w:val="20"/>
              </w:rPr>
            </w:pPr>
            <w:r w:rsidRPr="00F40EE3">
              <w:rPr>
                <w:b/>
                <w:bCs/>
                <w:sz w:val="20"/>
                <w:szCs w:val="20"/>
              </w:rPr>
              <w:t>Identify key workers</w:t>
            </w:r>
            <w:r w:rsidR="008140B5">
              <w:rPr>
                <w:sz w:val="20"/>
                <w:szCs w:val="20"/>
              </w:rPr>
              <w:t xml:space="preserve">. </w:t>
            </w:r>
            <w:r w:rsidRPr="00F40EE3">
              <w:rPr>
                <w:sz w:val="20"/>
                <w:szCs w:val="20"/>
              </w:rPr>
              <w:t xml:space="preserve">Employers need to know what qualities and skills a key worker has </w:t>
            </w:r>
            <w:r w:rsidRPr="00F40EE3">
              <w:rPr>
                <w:sz w:val="20"/>
                <w:szCs w:val="20"/>
              </w:rPr>
              <w:t>in order to</w:t>
            </w:r>
            <w:r w:rsidRPr="00F40EE3">
              <w:rPr>
                <w:sz w:val="20"/>
                <w:szCs w:val="20"/>
              </w:rPr>
              <w:t xml:space="preserve"> retain them. Consider the </w:t>
            </w:r>
            <w:r w:rsidRPr="00F40EE3" w:rsidR="00C87C79">
              <w:rPr>
                <w:sz w:val="20"/>
                <w:szCs w:val="20"/>
              </w:rPr>
              <w:t xml:space="preserve">previous </w:t>
            </w:r>
            <w:r w:rsidRPr="00F40EE3">
              <w:rPr>
                <w:sz w:val="20"/>
                <w:szCs w:val="20"/>
              </w:rPr>
              <w:t xml:space="preserve">checklist to determine if an employee exhibits key traits. </w:t>
            </w:r>
          </w:p>
        </w:tc>
        <w:tc>
          <w:tcPr>
            <w:tcW w:w="529" w:type="pct"/>
            <w:tcBorders>
              <w:left w:val="single" w:sz="2" w:space="0" w:color="808080"/>
            </w:tcBorders>
            <w:vAlign w:val="center"/>
          </w:tcPr>
          <w:p w:rsidR="00D10C46" w:rsidRPr="00F40EE3" w:rsidP="00AA0111" w14:paraId="24306696" w14:textId="4673EA75">
            <w:pPr>
              <w:spacing w:before="240" w:after="240"/>
              <w:jc w:val="center"/>
              <w:rPr>
                <w:sz w:val="28"/>
                <w:szCs w:val="28"/>
                <w:lang w:val="en-GB"/>
              </w:rPr>
            </w:pPr>
            <w:r w:rsidRPr="00F40EE3">
              <w:rPr>
                <w:rFonts w:ascii="Segoe UI Symbol" w:hAnsi="Segoe UI Symbol" w:cs="Segoe UI Symbol"/>
                <w:sz w:val="28"/>
                <w:szCs w:val="28"/>
                <w:lang w:val="en-GB"/>
              </w:rPr>
              <w:t>☐</w:t>
            </w:r>
          </w:p>
        </w:tc>
      </w:tr>
      <w:tr w14:paraId="5F7531E0" w14:textId="77777777" w:rsidTr="00AA0111">
        <w:tblPrEx>
          <w:tblW w:w="5000" w:type="pct"/>
          <w:tblLook w:val="01E0"/>
        </w:tblPrEx>
        <w:trPr>
          <w:trHeight w:val="403"/>
        </w:trPr>
        <w:tc>
          <w:tcPr>
            <w:tcW w:w="4471" w:type="pct"/>
            <w:tcBorders>
              <w:right w:val="single" w:sz="2" w:space="0" w:color="808080"/>
            </w:tcBorders>
            <w:vAlign w:val="center"/>
          </w:tcPr>
          <w:p w:rsidR="00D10C46" w:rsidRPr="00F40EE3" w:rsidP="00AA0111" w14:paraId="73173B2C" w14:textId="5D0D9BF3">
            <w:pPr>
              <w:pStyle w:val="Lists"/>
              <w:spacing w:before="240" w:after="240"/>
              <w:rPr>
                <w:sz w:val="20"/>
                <w:szCs w:val="20"/>
              </w:rPr>
            </w:pPr>
            <w:r w:rsidRPr="00F40EE3">
              <w:rPr>
                <w:b/>
                <w:bCs/>
                <w:sz w:val="20"/>
                <w:szCs w:val="20"/>
              </w:rPr>
              <w:t>Communicate with employees to ensure their needs are being met</w:t>
            </w:r>
            <w:r w:rsidR="008140B5">
              <w:rPr>
                <w:sz w:val="20"/>
                <w:szCs w:val="20"/>
              </w:rPr>
              <w:t xml:space="preserve">. </w:t>
            </w:r>
            <w:r w:rsidRPr="00F40EE3">
              <w:rPr>
                <w:sz w:val="20"/>
                <w:szCs w:val="20"/>
              </w:rPr>
              <w:t xml:space="preserve">Employers should </w:t>
            </w:r>
            <w:r w:rsidRPr="00F40EE3" w:rsidR="0001552B">
              <w:rPr>
                <w:sz w:val="20"/>
                <w:szCs w:val="20"/>
              </w:rPr>
              <w:t>talk to</w:t>
            </w:r>
            <w:r w:rsidRPr="00F40EE3">
              <w:rPr>
                <w:sz w:val="20"/>
                <w:szCs w:val="20"/>
              </w:rPr>
              <w:t xml:space="preserve"> their employees to determine if they are content in their roles or if there is something more the employer can do to increase their satisfaction. </w:t>
            </w:r>
          </w:p>
        </w:tc>
        <w:tc>
          <w:tcPr>
            <w:tcW w:w="529" w:type="pct"/>
            <w:tcBorders>
              <w:left w:val="single" w:sz="2" w:space="0" w:color="808080"/>
            </w:tcBorders>
            <w:vAlign w:val="center"/>
          </w:tcPr>
          <w:p w:rsidR="00D10C46" w:rsidRPr="00F40EE3" w:rsidP="00AA0111" w14:paraId="5D45F281" w14:textId="330EFF87">
            <w:pPr>
              <w:spacing w:before="240" w:after="240"/>
              <w:jc w:val="center"/>
              <w:rPr>
                <w:sz w:val="28"/>
                <w:szCs w:val="28"/>
                <w:lang w:val="en-GB"/>
              </w:rPr>
            </w:pPr>
            <w:r w:rsidRPr="00F40EE3">
              <w:rPr>
                <w:rFonts w:ascii="MS Gothic" w:eastAsia="MS Gothic" w:hAnsi="MS Gothic"/>
                <w:sz w:val="28"/>
                <w:szCs w:val="28"/>
                <w:lang w:val="en-GB"/>
              </w:rPr>
              <w:t>☐</w:t>
            </w:r>
          </w:p>
        </w:tc>
      </w:tr>
      <w:tr w14:paraId="4F489B3F" w14:textId="77777777" w:rsidTr="00AA0111">
        <w:tblPrEx>
          <w:tblW w:w="5000" w:type="pct"/>
          <w:tblLook w:val="01E0"/>
        </w:tblPrEx>
        <w:trPr>
          <w:trHeight w:val="403"/>
        </w:trPr>
        <w:tc>
          <w:tcPr>
            <w:tcW w:w="4471" w:type="pct"/>
            <w:tcBorders>
              <w:right w:val="single" w:sz="2" w:space="0" w:color="808080"/>
            </w:tcBorders>
            <w:vAlign w:val="center"/>
          </w:tcPr>
          <w:p w:rsidR="00D10C46" w:rsidRPr="00F40EE3" w:rsidP="00AA0111" w14:paraId="2E07579C" w14:textId="6E24A3F9">
            <w:pPr>
              <w:pStyle w:val="Lists"/>
              <w:spacing w:before="240" w:after="240"/>
              <w:rPr>
                <w:sz w:val="20"/>
                <w:szCs w:val="20"/>
              </w:rPr>
            </w:pPr>
            <w:r w:rsidRPr="00F40EE3">
              <w:rPr>
                <w:b/>
                <w:bCs/>
                <w:sz w:val="20"/>
                <w:szCs w:val="20"/>
              </w:rPr>
              <w:t>Create a positive work culture and sense of community among workers</w:t>
            </w:r>
            <w:r w:rsidR="008140B5">
              <w:rPr>
                <w:sz w:val="20"/>
                <w:szCs w:val="20"/>
              </w:rPr>
              <w:t xml:space="preserve">. </w:t>
            </w:r>
            <w:r w:rsidRPr="00F40EE3">
              <w:rPr>
                <w:sz w:val="20"/>
                <w:szCs w:val="20"/>
              </w:rPr>
              <w:t>Organ</w:t>
            </w:r>
            <w:r w:rsidRPr="00F40EE3" w:rsidR="0001552B">
              <w:rPr>
                <w:sz w:val="20"/>
                <w:szCs w:val="20"/>
              </w:rPr>
              <w:t>isation</w:t>
            </w:r>
            <w:r w:rsidRPr="00F40EE3">
              <w:rPr>
                <w:sz w:val="20"/>
                <w:szCs w:val="20"/>
              </w:rPr>
              <w:t xml:space="preserve">s should have strong values that are made clear to their employees. Further, employers should do things such as host events for employees to connect or hold meetings that reaffirm company values.  </w:t>
            </w:r>
          </w:p>
        </w:tc>
        <w:tc>
          <w:tcPr>
            <w:tcW w:w="529" w:type="pct"/>
            <w:tcBorders>
              <w:left w:val="single" w:sz="2" w:space="0" w:color="808080"/>
            </w:tcBorders>
            <w:vAlign w:val="center"/>
          </w:tcPr>
          <w:p w:rsidR="00D10C46" w:rsidRPr="00F40EE3" w:rsidP="00AA0111" w14:paraId="6AB8D176" w14:textId="5548695D">
            <w:pPr>
              <w:spacing w:before="240" w:after="240"/>
              <w:jc w:val="center"/>
              <w:rPr>
                <w:sz w:val="28"/>
                <w:szCs w:val="28"/>
                <w:lang w:val="en-GB"/>
              </w:rPr>
            </w:pPr>
            <w:r w:rsidRPr="00F40EE3">
              <w:rPr>
                <w:rFonts w:ascii="MS Gothic" w:eastAsia="MS Gothic" w:hAnsi="MS Gothic"/>
                <w:sz w:val="28"/>
                <w:szCs w:val="28"/>
                <w:lang w:val="en-GB"/>
              </w:rPr>
              <w:t>☐</w:t>
            </w:r>
          </w:p>
        </w:tc>
      </w:tr>
      <w:tr w14:paraId="7314E5B8" w14:textId="77777777" w:rsidTr="00AA0111">
        <w:tblPrEx>
          <w:tblW w:w="5000" w:type="pct"/>
          <w:tblLook w:val="01E0"/>
        </w:tblPrEx>
        <w:trPr>
          <w:trHeight w:val="403"/>
        </w:trPr>
        <w:tc>
          <w:tcPr>
            <w:tcW w:w="4471" w:type="pct"/>
            <w:tcBorders>
              <w:right w:val="single" w:sz="2" w:space="0" w:color="808080"/>
            </w:tcBorders>
            <w:vAlign w:val="center"/>
          </w:tcPr>
          <w:p w:rsidR="00D10C46" w:rsidRPr="00F40EE3" w:rsidP="00AA0111" w14:paraId="2F7891A3" w14:textId="0EB37A7A">
            <w:pPr>
              <w:pStyle w:val="Lists"/>
              <w:spacing w:before="240" w:after="240"/>
              <w:rPr>
                <w:sz w:val="20"/>
                <w:szCs w:val="20"/>
              </w:rPr>
            </w:pPr>
            <w:r w:rsidRPr="00F40EE3">
              <w:rPr>
                <w:b/>
                <w:bCs/>
                <w:sz w:val="20"/>
                <w:szCs w:val="20"/>
              </w:rPr>
              <w:t>Re-evaluate compensation strategies to ensure competitive compensation</w:t>
            </w:r>
            <w:r w:rsidR="008140B5">
              <w:rPr>
                <w:sz w:val="20"/>
                <w:szCs w:val="20"/>
              </w:rPr>
              <w:t xml:space="preserve">. </w:t>
            </w:r>
            <w:r w:rsidRPr="00F40EE3">
              <w:rPr>
                <w:sz w:val="20"/>
                <w:szCs w:val="20"/>
              </w:rPr>
              <w:t xml:space="preserve">Companies should evaluate competitor compensation and ensure their offerings remain competitive to maintain employee satisfaction. </w:t>
            </w:r>
          </w:p>
        </w:tc>
        <w:tc>
          <w:tcPr>
            <w:tcW w:w="529" w:type="pct"/>
            <w:tcBorders>
              <w:left w:val="single" w:sz="2" w:space="0" w:color="808080"/>
            </w:tcBorders>
            <w:vAlign w:val="center"/>
          </w:tcPr>
          <w:p w:rsidR="00D10C46" w:rsidRPr="00F40EE3" w:rsidP="00AA0111" w14:paraId="3F77D436" w14:textId="7CE29820">
            <w:pPr>
              <w:spacing w:before="240" w:after="240"/>
              <w:jc w:val="center"/>
              <w:rPr>
                <w:sz w:val="28"/>
                <w:szCs w:val="28"/>
                <w:lang w:val="en-GB"/>
              </w:rPr>
            </w:pPr>
            <w:r w:rsidRPr="00F40EE3">
              <w:rPr>
                <w:rFonts w:ascii="Segoe UI Symbol" w:hAnsi="Segoe UI Symbol" w:cs="Segoe UI Symbol"/>
                <w:sz w:val="28"/>
                <w:szCs w:val="28"/>
                <w:lang w:val="en-GB"/>
              </w:rPr>
              <w:t>☐</w:t>
            </w:r>
          </w:p>
        </w:tc>
      </w:tr>
      <w:tr w14:paraId="0C2EA44F" w14:textId="77777777" w:rsidTr="00AA0111">
        <w:tblPrEx>
          <w:tblW w:w="5000" w:type="pct"/>
          <w:tblLook w:val="01E0"/>
        </w:tblPrEx>
        <w:trPr>
          <w:trHeight w:val="403"/>
        </w:trPr>
        <w:tc>
          <w:tcPr>
            <w:tcW w:w="4471" w:type="pct"/>
            <w:tcBorders>
              <w:right w:val="single" w:sz="2" w:space="0" w:color="808080"/>
            </w:tcBorders>
          </w:tcPr>
          <w:p w:rsidR="00D10C46" w:rsidRPr="00F40EE3" w:rsidP="00AA0111" w14:paraId="03BDB657" w14:textId="166E46E8">
            <w:pPr>
              <w:pStyle w:val="Lists"/>
              <w:spacing w:before="240" w:after="240"/>
              <w:rPr>
                <w:sz w:val="20"/>
                <w:szCs w:val="20"/>
              </w:rPr>
            </w:pPr>
            <w:r w:rsidRPr="00F40EE3">
              <w:rPr>
                <w:b/>
                <w:bCs/>
                <w:sz w:val="20"/>
                <w:szCs w:val="20"/>
              </w:rPr>
              <w:t>Provide learning and development opportunities</w:t>
            </w:r>
            <w:r w:rsidR="008140B5">
              <w:rPr>
                <w:sz w:val="20"/>
                <w:szCs w:val="20"/>
              </w:rPr>
              <w:t xml:space="preserve">. </w:t>
            </w:r>
            <w:r w:rsidRPr="00F40EE3">
              <w:rPr>
                <w:sz w:val="20"/>
                <w:szCs w:val="20"/>
              </w:rPr>
              <w:t xml:space="preserve">Employers should offer learning and development opportunities for their employees to improve their current skills and acquire new ones. </w:t>
            </w:r>
          </w:p>
        </w:tc>
        <w:tc>
          <w:tcPr>
            <w:tcW w:w="529" w:type="pct"/>
            <w:tcBorders>
              <w:left w:val="single" w:sz="2" w:space="0" w:color="808080"/>
            </w:tcBorders>
            <w:vAlign w:val="center"/>
          </w:tcPr>
          <w:p w:rsidR="00D10C46" w:rsidRPr="00F40EE3" w:rsidP="00AA0111" w14:paraId="2008C9B3" w14:textId="151CAE04">
            <w:pPr>
              <w:spacing w:before="240" w:after="240"/>
              <w:jc w:val="center"/>
              <w:rPr>
                <w:sz w:val="28"/>
                <w:szCs w:val="28"/>
                <w:lang w:val="en-GB"/>
              </w:rPr>
            </w:pPr>
            <w:r w:rsidRPr="00F40EE3">
              <w:rPr>
                <w:rFonts w:ascii="Segoe UI Symbol" w:hAnsi="Segoe UI Symbol" w:cs="Segoe UI Symbol"/>
                <w:sz w:val="28"/>
                <w:szCs w:val="28"/>
                <w:lang w:val="en-GB"/>
              </w:rPr>
              <w:t>☐</w:t>
            </w:r>
          </w:p>
        </w:tc>
      </w:tr>
      <w:tr w14:paraId="3B11703C" w14:textId="77777777" w:rsidTr="00AA0111">
        <w:tblPrEx>
          <w:tblW w:w="5000" w:type="pct"/>
          <w:tblLook w:val="01E0"/>
        </w:tblPrEx>
        <w:trPr>
          <w:trHeight w:val="403"/>
        </w:trPr>
        <w:tc>
          <w:tcPr>
            <w:tcW w:w="4471" w:type="pct"/>
            <w:tcBorders>
              <w:right w:val="single" w:sz="2" w:space="0" w:color="808080"/>
            </w:tcBorders>
          </w:tcPr>
          <w:p w:rsidR="00D10C46" w:rsidRPr="00F40EE3" w:rsidP="00AA0111" w14:paraId="74621ABA" w14:textId="1FA2E8AE">
            <w:pPr>
              <w:pStyle w:val="Lists"/>
              <w:spacing w:before="240" w:after="240"/>
              <w:rPr>
                <w:sz w:val="20"/>
                <w:szCs w:val="20"/>
              </w:rPr>
            </w:pPr>
            <w:r w:rsidRPr="00F40EE3">
              <w:rPr>
                <w:b/>
                <w:bCs/>
                <w:sz w:val="20"/>
                <w:szCs w:val="20"/>
              </w:rPr>
              <w:t xml:space="preserve">Ensure </w:t>
            </w:r>
            <w:r w:rsidRPr="00F40EE3" w:rsidR="00C87C79">
              <w:rPr>
                <w:b/>
                <w:bCs/>
                <w:sz w:val="20"/>
                <w:szCs w:val="20"/>
              </w:rPr>
              <w:t xml:space="preserve">workplace </w:t>
            </w:r>
            <w:r w:rsidRPr="00F40EE3">
              <w:rPr>
                <w:b/>
                <w:bCs/>
                <w:sz w:val="20"/>
                <w:szCs w:val="20"/>
              </w:rPr>
              <w:t>offerings are competitive and match employee needs</w:t>
            </w:r>
            <w:r w:rsidR="008140B5">
              <w:rPr>
                <w:sz w:val="20"/>
                <w:szCs w:val="20"/>
              </w:rPr>
              <w:t xml:space="preserve">. </w:t>
            </w:r>
            <w:r w:rsidRPr="00F40EE3">
              <w:rPr>
                <w:sz w:val="20"/>
                <w:szCs w:val="20"/>
              </w:rPr>
              <w:t>Organ</w:t>
            </w:r>
            <w:r w:rsidRPr="00F40EE3" w:rsidR="0001552B">
              <w:rPr>
                <w:sz w:val="20"/>
                <w:szCs w:val="20"/>
              </w:rPr>
              <w:t>isation</w:t>
            </w:r>
            <w:r w:rsidRPr="00F40EE3">
              <w:rPr>
                <w:sz w:val="20"/>
                <w:szCs w:val="20"/>
              </w:rPr>
              <w:t xml:space="preserve">s should consider their employees’ needs and </w:t>
            </w:r>
            <w:r w:rsidRPr="00F40EE3" w:rsidR="00C87C79">
              <w:rPr>
                <w:sz w:val="20"/>
                <w:szCs w:val="20"/>
              </w:rPr>
              <w:t>compare offerings to others in their industry to ensure</w:t>
            </w:r>
            <w:r w:rsidRPr="00F40EE3" w:rsidR="006942A1">
              <w:rPr>
                <w:sz w:val="20"/>
                <w:szCs w:val="20"/>
              </w:rPr>
              <w:t xml:space="preserve"> benefits are competitive</w:t>
            </w:r>
            <w:r w:rsidRPr="00F40EE3">
              <w:rPr>
                <w:sz w:val="20"/>
                <w:szCs w:val="20"/>
              </w:rPr>
              <w:t>.</w:t>
            </w:r>
          </w:p>
        </w:tc>
        <w:tc>
          <w:tcPr>
            <w:tcW w:w="529" w:type="pct"/>
            <w:tcBorders>
              <w:left w:val="single" w:sz="2" w:space="0" w:color="808080"/>
            </w:tcBorders>
            <w:vAlign w:val="center"/>
          </w:tcPr>
          <w:p w:rsidR="00D10C46" w:rsidRPr="00F40EE3" w:rsidP="00AA0111" w14:paraId="72A83BF7" w14:textId="58B0C748">
            <w:pPr>
              <w:spacing w:before="240" w:after="240"/>
              <w:jc w:val="center"/>
              <w:rPr>
                <w:sz w:val="28"/>
                <w:szCs w:val="28"/>
                <w:lang w:val="en-GB"/>
              </w:rPr>
            </w:pPr>
            <w:r w:rsidRPr="00F40EE3">
              <w:rPr>
                <w:rFonts w:ascii="Segoe UI Symbol" w:hAnsi="Segoe UI Symbol" w:cs="Segoe UI Symbol"/>
                <w:sz w:val="28"/>
                <w:szCs w:val="28"/>
                <w:lang w:val="en-GB"/>
              </w:rPr>
              <w:t>☐</w:t>
            </w:r>
          </w:p>
        </w:tc>
      </w:tr>
      <w:tr w14:paraId="05D754DD" w14:textId="77777777" w:rsidTr="00AA0111">
        <w:tblPrEx>
          <w:tblW w:w="5000" w:type="pct"/>
          <w:tblLook w:val="01E0"/>
        </w:tblPrEx>
        <w:trPr>
          <w:trHeight w:val="403"/>
        </w:trPr>
        <w:tc>
          <w:tcPr>
            <w:tcW w:w="4471" w:type="pct"/>
            <w:tcBorders>
              <w:right w:val="single" w:sz="2" w:space="0" w:color="808080"/>
            </w:tcBorders>
          </w:tcPr>
          <w:p w:rsidR="00D10C46" w:rsidRPr="00F40EE3" w:rsidP="00AA0111" w14:paraId="270B913B" w14:textId="47C5301B">
            <w:pPr>
              <w:pStyle w:val="Lists"/>
              <w:spacing w:before="240" w:after="240"/>
              <w:rPr>
                <w:sz w:val="20"/>
                <w:szCs w:val="20"/>
              </w:rPr>
            </w:pPr>
            <w:r w:rsidRPr="00F40EE3">
              <w:rPr>
                <w:b/>
                <w:bCs/>
                <w:sz w:val="20"/>
                <w:szCs w:val="20"/>
              </w:rPr>
              <w:t>Offer flexible working arrangements where possible</w:t>
            </w:r>
            <w:r w:rsidR="008140B5">
              <w:rPr>
                <w:sz w:val="20"/>
                <w:szCs w:val="20"/>
              </w:rPr>
              <w:t xml:space="preserve">. </w:t>
            </w:r>
            <w:r w:rsidRPr="00F40EE3">
              <w:rPr>
                <w:sz w:val="20"/>
                <w:szCs w:val="20"/>
              </w:rPr>
              <w:t xml:space="preserve">If in-person work is not always necessary, employers might consider allowing remote working arrangements some or </w:t>
            </w:r>
            <w:r w:rsidRPr="00F40EE3">
              <w:rPr>
                <w:sz w:val="20"/>
                <w:szCs w:val="20"/>
              </w:rPr>
              <w:t>all of</w:t>
            </w:r>
            <w:r w:rsidRPr="00F40EE3">
              <w:rPr>
                <w:sz w:val="20"/>
                <w:szCs w:val="20"/>
              </w:rPr>
              <w:t xml:space="preserve"> the time. In instances where that is not feasible, employers might consider offering flexible working hours or some other arrangement.</w:t>
            </w:r>
          </w:p>
        </w:tc>
        <w:tc>
          <w:tcPr>
            <w:tcW w:w="529" w:type="pct"/>
            <w:tcBorders>
              <w:left w:val="single" w:sz="2" w:space="0" w:color="808080"/>
            </w:tcBorders>
            <w:vAlign w:val="center"/>
          </w:tcPr>
          <w:p w:rsidR="00D10C46" w:rsidRPr="00F40EE3" w:rsidP="00AA0111" w14:paraId="01CF3956" w14:textId="5362347A">
            <w:pPr>
              <w:spacing w:before="240" w:after="240"/>
              <w:jc w:val="center"/>
              <w:rPr>
                <w:sz w:val="28"/>
                <w:szCs w:val="28"/>
                <w:lang w:val="en-GB"/>
              </w:rPr>
            </w:pPr>
            <w:r w:rsidRPr="00F40EE3">
              <w:rPr>
                <w:rFonts w:ascii="MS Gothic" w:eastAsia="MS Gothic" w:hAnsi="MS Gothic"/>
                <w:sz w:val="28"/>
                <w:szCs w:val="28"/>
                <w:lang w:val="en-GB"/>
              </w:rPr>
              <w:t>☐</w:t>
            </w:r>
          </w:p>
        </w:tc>
      </w:tr>
      <w:tr w14:paraId="4501CB41" w14:textId="77777777" w:rsidTr="00AA0111">
        <w:tblPrEx>
          <w:tblW w:w="5000" w:type="pct"/>
          <w:tblLook w:val="01E0"/>
        </w:tblPrEx>
        <w:trPr>
          <w:trHeight w:val="403"/>
        </w:trPr>
        <w:tc>
          <w:tcPr>
            <w:tcW w:w="4471" w:type="pct"/>
            <w:tcBorders>
              <w:right w:val="single" w:sz="2" w:space="0" w:color="808080"/>
            </w:tcBorders>
          </w:tcPr>
          <w:p w:rsidR="00D10C46" w:rsidRPr="00F40EE3" w:rsidP="00AA0111" w14:paraId="30DF53BE" w14:textId="72D34DED">
            <w:pPr>
              <w:pStyle w:val="Lists"/>
              <w:spacing w:before="240" w:after="240"/>
              <w:rPr>
                <w:sz w:val="20"/>
                <w:szCs w:val="20"/>
              </w:rPr>
            </w:pPr>
            <w:r w:rsidRPr="00F40EE3">
              <w:rPr>
                <w:b/>
                <w:bCs/>
                <w:sz w:val="20"/>
                <w:szCs w:val="20"/>
              </w:rPr>
              <w:t>Utili</w:t>
            </w:r>
            <w:r w:rsidRPr="00F40EE3" w:rsidR="006942A1">
              <w:rPr>
                <w:b/>
                <w:bCs/>
                <w:sz w:val="20"/>
                <w:szCs w:val="20"/>
              </w:rPr>
              <w:t>s</w:t>
            </w:r>
            <w:r w:rsidRPr="00F40EE3">
              <w:rPr>
                <w:b/>
                <w:bCs/>
                <w:sz w:val="20"/>
                <w:szCs w:val="20"/>
              </w:rPr>
              <w:t xml:space="preserve">e rewards and recognition </w:t>
            </w:r>
            <w:r w:rsidRPr="00F40EE3" w:rsidR="0001552B">
              <w:rPr>
                <w:b/>
                <w:bCs/>
                <w:sz w:val="20"/>
                <w:szCs w:val="20"/>
              </w:rPr>
              <w:t>programmes</w:t>
            </w:r>
            <w:r w:rsidR="008140B5">
              <w:rPr>
                <w:sz w:val="20"/>
                <w:szCs w:val="20"/>
              </w:rPr>
              <w:t xml:space="preserve">. </w:t>
            </w:r>
            <w:r w:rsidRPr="00F40EE3">
              <w:rPr>
                <w:sz w:val="20"/>
                <w:szCs w:val="20"/>
              </w:rPr>
              <w:t>Companies should incentivi</w:t>
            </w:r>
            <w:r w:rsidRPr="00F40EE3" w:rsidR="006942A1">
              <w:rPr>
                <w:sz w:val="20"/>
                <w:szCs w:val="20"/>
              </w:rPr>
              <w:t>s</w:t>
            </w:r>
            <w:r w:rsidRPr="00F40EE3">
              <w:rPr>
                <w:sz w:val="20"/>
                <w:szCs w:val="20"/>
              </w:rPr>
              <w:t xml:space="preserve">e and compensate hard work with reward and recognition </w:t>
            </w:r>
            <w:r w:rsidRPr="00F40EE3" w:rsidR="0001552B">
              <w:rPr>
                <w:sz w:val="20"/>
                <w:szCs w:val="20"/>
              </w:rPr>
              <w:t>programmes</w:t>
            </w:r>
            <w:r w:rsidRPr="00F40EE3">
              <w:rPr>
                <w:sz w:val="20"/>
                <w:szCs w:val="20"/>
              </w:rPr>
              <w:t xml:space="preserve"> to ensure employees feel valued and appreciated. </w:t>
            </w:r>
          </w:p>
        </w:tc>
        <w:tc>
          <w:tcPr>
            <w:tcW w:w="529" w:type="pct"/>
            <w:tcBorders>
              <w:left w:val="single" w:sz="2" w:space="0" w:color="808080"/>
            </w:tcBorders>
            <w:vAlign w:val="center"/>
          </w:tcPr>
          <w:p w:rsidR="00D10C46" w:rsidRPr="00F40EE3" w:rsidP="00AA0111" w14:paraId="029C6600" w14:textId="6E363BAD">
            <w:pPr>
              <w:spacing w:before="240" w:after="240"/>
              <w:jc w:val="center"/>
              <w:rPr>
                <w:sz w:val="28"/>
                <w:szCs w:val="28"/>
                <w:lang w:val="en-GB"/>
              </w:rPr>
            </w:pPr>
            <w:r w:rsidRPr="00F40EE3">
              <w:rPr>
                <w:rFonts w:ascii="MS Gothic" w:eastAsia="MS Gothic" w:hAnsi="MS Gothic"/>
                <w:sz w:val="28"/>
                <w:szCs w:val="28"/>
                <w:lang w:val="en-GB"/>
              </w:rPr>
              <w:t>☐</w:t>
            </w:r>
          </w:p>
        </w:tc>
      </w:tr>
    </w:tbl>
    <w:p w:rsidR="00AA0111" w:rsidRPr="00F40EE3" w:rsidP="00AA0111" w14:paraId="124B5702" w14:textId="77777777">
      <w:pPr>
        <w:pStyle w:val="Lists"/>
        <w:rPr>
          <w:rFonts w:asciiTheme="minorHAnsi" w:hAnsiTheme="minorHAnsi"/>
          <w:sz w:val="20"/>
          <w:szCs w:val="20"/>
        </w:rPr>
      </w:pPr>
      <w:r w:rsidRPr="00F40EE3">
        <w:rPr>
          <w:rFonts w:asciiTheme="minorHAnsi" w:hAnsiTheme="minorHAnsi"/>
          <w:sz w:val="20"/>
          <w:szCs w:val="20"/>
        </w:rPr>
        <w:t>Once employers have identified their key employees, they must also work to keep them. Identifying key employees only really helps organisations if they can retain them. Here are some steps employers can take to improve retention of key employees:</w:t>
      </w:r>
    </w:p>
    <w:p w:rsidR="00AA0111" w:rsidRPr="00F40EE3" w:rsidP="00D10C46" w14:paraId="5CD9EAC4" w14:textId="77777777">
      <w:pPr>
        <w:pStyle w:val="Lists"/>
        <w:rPr>
          <w:rFonts w:asciiTheme="minorHAnsi" w:hAnsiTheme="minorHAnsi"/>
          <w:b/>
          <w:bCs/>
          <w:sz w:val="20"/>
          <w:szCs w:val="20"/>
        </w:rPr>
      </w:pPr>
    </w:p>
    <w:p w:rsidR="00AA0111" w:rsidRPr="00F40EE3" w:rsidP="00D10C46" w14:paraId="656247E5" w14:textId="77777777">
      <w:pPr>
        <w:pStyle w:val="Lists"/>
        <w:rPr>
          <w:rFonts w:asciiTheme="minorHAnsi" w:hAnsiTheme="minorHAnsi"/>
          <w:b/>
          <w:bCs/>
          <w:sz w:val="20"/>
          <w:szCs w:val="20"/>
        </w:rPr>
      </w:pPr>
    </w:p>
    <w:p w:rsidR="00D10C46" w:rsidRPr="00F40EE3" w:rsidP="00D10C46" w14:paraId="70DF561D" w14:textId="27AE1A34">
      <w:pPr>
        <w:pStyle w:val="Lists"/>
        <w:rPr>
          <w:rFonts w:asciiTheme="minorHAnsi" w:hAnsiTheme="minorHAnsi"/>
          <w:b/>
          <w:bCs/>
          <w:sz w:val="20"/>
          <w:szCs w:val="20"/>
        </w:rPr>
      </w:pPr>
      <w:r w:rsidRPr="00F40EE3">
        <w:rPr>
          <w:rFonts w:asciiTheme="minorHAnsi" w:hAnsiTheme="minorHAnsi"/>
          <w:b/>
          <w:bCs/>
          <w:sz w:val="20"/>
          <w:szCs w:val="20"/>
        </w:rPr>
        <w:t>Takeaway</w:t>
      </w:r>
    </w:p>
    <w:p w:rsidR="00D10C46" w:rsidRPr="00F40EE3" w:rsidP="00D10C46" w14:paraId="42F7995C" w14:textId="228BA06A">
      <w:pPr>
        <w:pStyle w:val="Lists"/>
        <w:rPr>
          <w:rFonts w:asciiTheme="minorHAnsi" w:hAnsiTheme="minorHAnsi"/>
          <w:sz w:val="20"/>
          <w:szCs w:val="20"/>
        </w:rPr>
      </w:pPr>
      <w:r w:rsidRPr="00F40EE3">
        <w:rPr>
          <w:rFonts w:asciiTheme="minorHAnsi" w:hAnsiTheme="minorHAnsi"/>
          <w:sz w:val="20"/>
          <w:szCs w:val="20"/>
        </w:rPr>
        <w:t>The current labour market poses attraction and retention challenges for employers, but they can respond by ensuring that they identify and retain their key employees. By recogn</w:t>
      </w:r>
      <w:r w:rsidRPr="00F40EE3" w:rsidR="0001552B">
        <w:rPr>
          <w:rFonts w:asciiTheme="minorHAnsi" w:hAnsiTheme="minorHAnsi"/>
          <w:sz w:val="20"/>
          <w:szCs w:val="20"/>
        </w:rPr>
        <w:t>ising</w:t>
      </w:r>
      <w:r w:rsidRPr="00F40EE3">
        <w:rPr>
          <w:rFonts w:asciiTheme="minorHAnsi" w:hAnsiTheme="minorHAnsi"/>
          <w:sz w:val="20"/>
          <w:szCs w:val="20"/>
        </w:rPr>
        <w:t xml:space="preserve"> key employees’ qualities and taking steps to meet those employees’ demands, employers will be able to correctly pinpoint and keep top talent.</w:t>
      </w:r>
    </w:p>
    <w:p w:rsidR="00D10C46" w:rsidRPr="002C4140" w:rsidP="00D10C46" w14:paraId="702CAA2E" w14:textId="36ADE7C7">
      <w:pPr>
        <w:pStyle w:val="Lists"/>
        <w:rPr>
          <w:sz w:val="24"/>
          <w:szCs w:val="20"/>
        </w:rPr>
      </w:pPr>
      <w:r w:rsidRPr="00F40EE3">
        <w:rPr>
          <w:rFonts w:asciiTheme="minorHAnsi" w:hAnsiTheme="minorHAnsi"/>
          <w:sz w:val="20"/>
          <w:szCs w:val="20"/>
        </w:rPr>
        <w:t xml:space="preserve">For more employee retention resources, contact </w:t>
      </w:r>
      <w:r w:rsidRPr="00F40EE3">
        <w:rPr>
          <w:rFonts w:asciiTheme="minorHAnsi" w:hAnsiTheme="minorHAnsi"/>
          <w:sz w:val="20"/>
          <w:szCs w:val="20"/>
        </w:rPr>
        <w:t>RS Risk Solutions Ltd</w:t>
      </w:r>
      <w:r w:rsidRPr="00F40EE3">
        <w:rPr>
          <w:rFonts w:asciiTheme="minorHAnsi" w:hAnsiTheme="minorHAnsi"/>
          <w:sz w:val="20"/>
          <w:szCs w:val="20"/>
        </w:rPr>
        <w:t>.</w:t>
      </w:r>
    </w:p>
    <w:p w:rsidR="009D4713" w:rsidRPr="002C4140" w:rsidP="00D10C46" w14:paraId="5F06A11C" w14:textId="77777777">
      <w:pPr>
        <w:rPr>
          <w:sz w:val="28"/>
          <w:szCs w:val="28"/>
          <w:lang w:val="en-GB"/>
        </w:rPr>
      </w:pPr>
    </w:p>
    <w:sectPr w:rsidSect="00A9170F">
      <w:headerReference w:type="default" r:id="rId9"/>
      <w:pgSz w:w="11906" w:h="16838" w:code="9"/>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C46" w:rsidRPr="009E6C48" w:rsidP="005840CD" w14:paraId="6E9013D7" w14:textId="3FFFB025">
    <w:pPr>
      <w:pStyle w:val="Footer"/>
      <w:tabs>
        <w:tab w:val="right" w:pos="9090"/>
      </w:tabs>
      <w:rPr>
        <w:rFonts w:ascii="Arial" w:hAnsi="Arial" w:cs="Arial"/>
        <w:i/>
        <w:sz w:val="16"/>
        <w:szCs w:val="16"/>
        <w:lang w:val="en-CA"/>
      </w:rPr>
    </w:pPr>
    <w:r w:rsidRPr="006942A1">
      <w:rPr>
        <w:rFonts w:ascii="Arial" w:hAnsi="Arial" w:cs="Arial"/>
        <w:i/>
        <w:sz w:val="16"/>
        <w:szCs w:val="16"/>
        <w:lang w:val="en-CA"/>
      </w:rPr>
      <w:t xml:space="preserve">This checklist is of general interest and is not intended to apply to specific circumstances. It does not purport to be a comprehensive analysis of all matters relevant to its subject matter. The content should not, therefore, be regarded as constituting legal advice and not be relied upon as such. In relation to any </w:t>
    </w:r>
    <w:r w:rsidRPr="006942A1">
      <w:rPr>
        <w:rFonts w:ascii="Arial" w:hAnsi="Arial" w:cs="Arial"/>
        <w:i/>
        <w:sz w:val="16"/>
        <w:szCs w:val="16"/>
        <w:lang w:val="en-CA"/>
      </w:rPr>
      <w:t>particular problem</w:t>
    </w:r>
    <w:r w:rsidRPr="006942A1">
      <w:rPr>
        <w:rFonts w:ascii="Arial" w:hAnsi="Arial" w:cs="Arial"/>
        <w:i/>
        <w:sz w:val="16"/>
        <w:szCs w:val="16"/>
        <w:lang w:val="en-CA"/>
      </w:rPr>
      <w:t xml:space="preserve"> which they may have, readers are advised to seek specific advice. Further, the law may have changed since first publication and the reader is cautioned accordingly.</w:t>
    </w:r>
    <w:r w:rsidR="002C4140">
      <w:rPr>
        <w:rFonts w:ascii="Arial" w:hAnsi="Arial" w:cs="Arial"/>
        <w:i/>
        <w:sz w:val="16"/>
        <w:szCs w:val="16"/>
        <w:lang w:val="en-CA"/>
      </w:rPr>
      <w:t xml:space="preserve"> </w:t>
    </w:r>
    <w:r w:rsidRPr="009E6C48">
      <w:rPr>
        <w:rFonts w:ascii="Arial" w:hAnsi="Arial" w:cs="Arial"/>
        <w:i/>
        <w:sz w:val="16"/>
        <w:szCs w:val="16"/>
        <w:lang w:val="en-CA"/>
      </w:rPr>
      <w:t xml:space="preserve">© 2023 </w:t>
    </w:r>
    <w:r w:rsidRPr="009E6C48">
      <w:rPr>
        <w:rFonts w:ascii="Arial" w:hAnsi="Arial" w:cs="Arial"/>
        <w:i/>
        <w:sz w:val="16"/>
        <w:szCs w:val="16"/>
        <w:lang w:val="en-CA"/>
      </w:rPr>
      <w:t>Zywave</w:t>
    </w:r>
    <w:r w:rsidRPr="009E6C48">
      <w:rPr>
        <w:rFonts w:ascii="Arial" w:hAnsi="Arial" w:cs="Arial"/>
        <w:i/>
        <w:sz w:val="16"/>
        <w:szCs w:val="16"/>
        <w:lang w:val="en-CA"/>
      </w:rPr>
      <w:t>,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C46" w:rsidRPr="009E6C48" w:rsidP="005840CD" w14:paraId="47F20D29" w14:textId="77777777">
    <w:pPr>
      <w:pStyle w:val="Footer"/>
      <w:tabs>
        <w:tab w:val="right" w:pos="9090"/>
      </w:tabs>
      <w:rPr>
        <w:lang w:val="en-CA"/>
      </w:rPr>
    </w:pPr>
    <w:r w:rsidRPr="009E6C48">
      <w:rPr>
        <w:lang w:val="en-CA"/>
      </w:rPr>
      <w:tab/>
    </w:r>
  </w:p>
  <w:p w:rsidR="00D10C46" w:rsidRPr="009E6C48" w:rsidP="005840CD" w14:paraId="2BEFABD2" w14:textId="77777777">
    <w:pPr>
      <w:pStyle w:val="Footer"/>
      <w:tabs>
        <w:tab w:val="right" w:pos="9090"/>
      </w:tabs>
      <w:rPr>
        <w:rFonts w:ascii="Arial" w:hAnsi="Arial" w:cs="Arial"/>
        <w:i/>
        <w:sz w:val="16"/>
        <w:szCs w:val="16"/>
        <w:lang w:val="en-CA"/>
      </w:rPr>
    </w:pPr>
  </w:p>
  <w:p w:rsidR="00D10C46" w:rsidRPr="009E6C48" w:rsidP="005840CD" w14:paraId="249F6D89" w14:textId="77777777">
    <w:pPr>
      <w:pStyle w:val="Footer"/>
      <w:tabs>
        <w:tab w:val="right" w:pos="9090"/>
      </w:tabs>
      <w:rPr>
        <w:rFonts w:ascii="Arial" w:hAnsi="Arial" w:cs="Arial"/>
        <w:i/>
        <w:sz w:val="16"/>
        <w:szCs w:val="16"/>
        <w:lang w:val="en-CA"/>
      </w:rPr>
    </w:pPr>
    <w:r w:rsidRPr="009E6C48">
      <w:rPr>
        <w:rFonts w:ascii="Arial" w:hAnsi="Arial" w:cs="Arial"/>
        <w:i/>
        <w:sz w:val="16"/>
        <w:szCs w:val="16"/>
        <w:lang w:val="en-CA"/>
      </w:rPr>
      <w:t xml:space="preserve">This checklist is merely a guideline. It is neither meant to be exhaustive nor meant to be construed as legal advice. It does not address all potential compliance issues with federal, </w:t>
    </w:r>
    <w:r>
      <w:rPr>
        <w:rFonts w:ascii="Arial" w:hAnsi="Arial" w:cs="Arial"/>
        <w:i/>
        <w:sz w:val="16"/>
        <w:szCs w:val="16"/>
        <w:lang w:val="en-CA"/>
      </w:rPr>
      <w:t>province</w:t>
    </w:r>
    <w:r w:rsidRPr="009E6C48">
      <w:rPr>
        <w:rFonts w:ascii="Arial" w:hAnsi="Arial" w:cs="Arial"/>
        <w:i/>
        <w:sz w:val="16"/>
        <w:szCs w:val="16"/>
        <w:lang w:val="en-CA"/>
      </w:rPr>
      <w:t xml:space="preserve"> or local standards. Consult your </w:t>
    </w:r>
    <w:r>
      <w:rPr>
        <w:rFonts w:ascii="Arial" w:hAnsi="Arial" w:cs="Arial"/>
        <w:i/>
        <w:sz w:val="16"/>
        <w:szCs w:val="16"/>
        <w:lang w:val="en-CA"/>
      </w:rPr>
      <w:t>licence</w:t>
    </w:r>
    <w:r w:rsidRPr="009E6C48">
      <w:rPr>
        <w:rFonts w:ascii="Arial" w:hAnsi="Arial" w:cs="Arial"/>
        <w:i/>
        <w:sz w:val="16"/>
        <w:szCs w:val="16"/>
        <w:lang w:val="en-CA"/>
      </w:rPr>
      <w:t>d representative at Awesome Content Cloud Performance or legal counsel to address possible compliance requirements</w:t>
    </w:r>
    <w:r w:rsidRPr="009E6C48">
      <w:rPr>
        <w:rFonts w:ascii="Arial" w:hAnsi="Arial" w:cs="Arial"/>
        <w:sz w:val="16"/>
        <w:szCs w:val="16"/>
        <w:lang w:val="en-CA"/>
      </w:rPr>
      <w:t xml:space="preserve">. </w:t>
    </w:r>
    <w:r w:rsidRPr="009E6C48">
      <w:rPr>
        <w:rFonts w:ascii="Arial" w:hAnsi="Arial" w:cs="Arial"/>
        <w:i/>
        <w:sz w:val="16"/>
        <w:szCs w:val="16"/>
        <w:lang w:val="en-CA"/>
      </w:rPr>
      <w:t xml:space="preserve">© 2023 </w:t>
    </w:r>
    <w:r w:rsidRPr="009E6C48">
      <w:rPr>
        <w:rFonts w:ascii="Arial" w:hAnsi="Arial" w:cs="Arial"/>
        <w:i/>
        <w:sz w:val="16"/>
        <w:szCs w:val="16"/>
        <w:lang w:val="en-CA"/>
      </w:rPr>
      <w:t>Zywave</w:t>
    </w:r>
    <w:r w:rsidRPr="009E6C48">
      <w:rPr>
        <w:rFonts w:ascii="Arial" w:hAnsi="Arial" w:cs="Arial"/>
        <w:i/>
        <w:sz w:val="16"/>
        <w:szCs w:val="16"/>
        <w:lang w:val="en-CA"/>
      </w:rPr>
      <w:t>,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C46" w:rsidRPr="009E6C48" w14:paraId="7847D0DC" w14:textId="01D74E60">
    <w:pPr>
      <w:pStyle w:val="Header"/>
      <w:rPr>
        <w:lang w:val="en-CA"/>
      </w:rPr>
    </w:pPr>
    <w:r>
      <w:rPr>
        <w:noProof/>
      </w:rPr>
      <mc:AlternateContent>
        <mc:Choice Requires="wps">
          <w:drawing>
            <wp:anchor distT="0" distB="0" distL="114300" distR="114300" simplePos="0" relativeHeight="251661312" behindDoc="0" locked="0" layoutInCell="1" allowOverlap="1">
              <wp:simplePos x="0" y="0"/>
              <wp:positionH relativeFrom="page">
                <wp:posOffset>3276600</wp:posOffset>
              </wp:positionH>
              <wp:positionV relativeFrom="paragraph">
                <wp:posOffset>-94615</wp:posOffset>
              </wp:positionV>
              <wp:extent cx="4013200" cy="831850"/>
              <wp:effectExtent l="0" t="0" r="0" b="0"/>
              <wp:wrapNone/>
              <wp:docPr id="181823918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13200" cy="831850"/>
                      </a:xfrm>
                      <a:prstGeom prst="rect">
                        <a:avLst/>
                      </a:prstGeom>
                      <a:noFill/>
                      <a:ln>
                        <a:noFill/>
                      </a:ln>
                    </wps:spPr>
                    <wps:txbx>
                      <w:txbxContent>
                        <w:p w:rsidR="00D10C46" w:rsidRPr="006622DC" w:rsidP="00624C30" w14:textId="67FD30EB">
                          <w:pPr>
                            <w:spacing w:line="240" w:lineRule="atLeast"/>
                            <w:rPr>
                              <w:rFonts w:ascii="Calibri" w:hAnsi="Calibri" w:cs="Calibri"/>
                              <w:b/>
                              <w:color w:val="474747"/>
                              <w:sz w:val="48"/>
                              <w:szCs w:val="64"/>
                            </w:rPr>
                          </w:pPr>
                          <w:r>
                            <w:rPr>
                              <w:rFonts w:ascii="Calibri" w:hAnsi="Calibri" w:cs="Calibri"/>
                              <w:b/>
                              <w:color w:val="474747"/>
                              <w:sz w:val="48"/>
                              <w:szCs w:val="64"/>
                            </w:rPr>
                            <w:t>IDENTIFYING AND RETAINING KEY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316pt;height:65.5pt;margin-top:-7.45pt;margin-left:258pt;mso-height-percent:0;mso-height-relative:page;mso-position-horizontal-relative:page;mso-width-percent:0;mso-width-relative:page;mso-wrap-distance-bottom:0;mso-wrap-distance-left:9pt;mso-wrap-distance-right:9pt;mso-wrap-distance-top:0;mso-wrap-style:square;position:absolute;v-text-anchor:top;visibility:visible;z-index:251662336" filled="f" stroked="f">
              <v:textbox>
                <w:txbxContent>
                  <w:p w:rsidR="00D10C46" w:rsidRPr="006622DC" w:rsidP="00624C30" w14:paraId="1F9765AF" w14:textId="67FD30EB">
                    <w:pPr>
                      <w:spacing w:line="240" w:lineRule="atLeast"/>
                      <w:rPr>
                        <w:rFonts w:ascii="Calibri" w:hAnsi="Calibri" w:cs="Calibri"/>
                        <w:b/>
                        <w:color w:val="474747"/>
                        <w:sz w:val="48"/>
                        <w:szCs w:val="64"/>
                      </w:rPr>
                    </w:pPr>
                    <w:r>
                      <w:rPr>
                        <w:rFonts w:ascii="Calibri" w:hAnsi="Calibri" w:cs="Calibri"/>
                        <w:b/>
                        <w:color w:val="474747"/>
                        <w:sz w:val="48"/>
                        <w:szCs w:val="64"/>
                      </w:rPr>
                      <w:t>IDENTIFYING AND RETAINING KEY EMPLOYEES</w:t>
                    </w:r>
                  </w:p>
                </w:txbxContent>
              </v:textbox>
            </v:shape>
          </w:pict>
        </mc:Fallback>
      </mc:AlternateContent>
    </w:r>
    <w:r w:rsidRPr="009E6C48">
      <w:rPr>
        <w:noProof/>
        <w:lang w:val="en-CA"/>
      </w:rPr>
      <w:drawing>
        <wp:anchor distT="0" distB="0" distL="114300" distR="114300" simplePos="0" relativeHeight="251663360" behindDoc="1" locked="0" layoutInCell="1" allowOverlap="1">
          <wp:simplePos x="0" y="0"/>
          <wp:positionH relativeFrom="page">
            <wp:align>right</wp:align>
          </wp:positionH>
          <wp:positionV relativeFrom="paragraph">
            <wp:posOffset>-456565</wp:posOffset>
          </wp:positionV>
          <wp:extent cx="7766050" cy="10050780"/>
          <wp:effectExtent l="0" t="0" r="6350" b="7620"/>
          <wp:wrapNone/>
          <wp:docPr id="1998376775" name="Picture 199837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76775"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C46" w:rsidRPr="009E6C48" w:rsidP="005840CD" w14:paraId="0710B8A9" w14:textId="6C1207D7">
    <w:pPr>
      <w:pStyle w:val="Header"/>
      <w:tabs>
        <w:tab w:val="left" w:pos="1560"/>
        <w:tab w:val="clear" w:pos="4680"/>
        <w:tab w:val="clear" w:pos="9360"/>
      </w:tabs>
      <w:rPr>
        <w:lang w:val="en-CA"/>
      </w:rPr>
    </w:pPr>
    <w:r>
      <w:rPr>
        <w:noProof/>
      </w:rPr>
      <mc:AlternateContent>
        <mc:Choice Requires="wps">
          <w:drawing>
            <wp:anchor distT="0" distB="0" distL="114300" distR="114300" simplePos="0" relativeHeight="251666432" behindDoc="0" locked="0" layoutInCell="1" allowOverlap="1">
              <wp:simplePos x="0" y="0"/>
              <wp:positionH relativeFrom="column">
                <wp:posOffset>588010</wp:posOffset>
              </wp:positionH>
              <wp:positionV relativeFrom="paragraph">
                <wp:posOffset>-180975</wp:posOffset>
              </wp:positionV>
              <wp:extent cx="5532755" cy="335280"/>
              <wp:effectExtent l="0" t="0" r="0" b="0"/>
              <wp:wrapNone/>
              <wp:docPr id="15925809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wps:spPr>
                    <wps:txbx>
                      <w:txbxContent>
                        <w:p w:rsidR="00D10C46" w:rsidRPr="006622DC" w:rsidP="005840CD" w14:textId="77777777">
                          <w:pPr>
                            <w:rPr>
                              <w:rFonts w:ascii="Calibri Light" w:hAnsi="Calibri Light" w:cs="Calibri Light"/>
                              <w:color w:val="474747"/>
                              <w:sz w:val="20"/>
                            </w:rPr>
                          </w:pPr>
                          <w:r>
                            <w:rPr>
                              <w:rFonts w:ascii="Calibri Light" w:hAnsi="Calibri Light" w:cs="Calibri Light"/>
                              <w:color w:val="474747"/>
                              <w:sz w:val="20"/>
                            </w:rPr>
                            <w:t>IDENTIFYING AND RETAINING KEY EMPLOYEES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435.65pt;height:26.4pt;margin-top:-14.25pt;margin-left:46.3pt;mso-height-percent:0;mso-height-relative:page;mso-width-percent:0;mso-width-relative:page;mso-wrap-distance-bottom:0;mso-wrap-distance-left:9pt;mso-wrap-distance-right:9pt;mso-wrap-distance-top:0;mso-wrap-style:square;position:absolute;v-text-anchor:top;visibility:visible;z-index:251667456" filled="f" stroked="f">
              <v:textbox>
                <w:txbxContent>
                  <w:p w:rsidR="00D10C46" w:rsidRPr="006622DC" w:rsidP="005840CD" w14:paraId="0E24BCA0" w14:textId="77777777">
                    <w:pPr>
                      <w:rPr>
                        <w:rFonts w:ascii="Calibri Light" w:hAnsi="Calibri Light" w:cs="Calibri Light"/>
                        <w:color w:val="474747"/>
                        <w:sz w:val="20"/>
                      </w:rPr>
                    </w:pPr>
                    <w:r>
                      <w:rPr>
                        <w:rFonts w:ascii="Calibri Light" w:hAnsi="Calibri Light" w:cs="Calibri Light"/>
                        <w:color w:val="474747"/>
                        <w:sz w:val="20"/>
                      </w:rPr>
                      <w:t>IDENTIFYING AND RETAINING KEY EMPLOYEES</w:t>
                    </w:r>
                  </w:p>
                </w:txbxContent>
              </v:textbox>
            </v:shape>
          </w:pict>
        </mc:Fallback>
      </mc:AlternateContent>
    </w:r>
    <w:r w:rsidRPr="009E6C48">
      <w:rPr>
        <w:noProof/>
        <w:lang w:val="en-CA"/>
      </w:rPr>
      <w:drawing>
        <wp:anchor distT="0" distB="0" distL="114300" distR="114300" simplePos="0" relativeHeight="251665408" behindDoc="1" locked="0" layoutInCell="1" allowOverlap="1">
          <wp:simplePos x="0" y="0"/>
          <wp:positionH relativeFrom="page">
            <wp:align>right</wp:align>
          </wp:positionH>
          <wp:positionV relativeFrom="paragraph">
            <wp:posOffset>-581371</wp:posOffset>
          </wp:positionV>
          <wp:extent cx="7766474" cy="10050780"/>
          <wp:effectExtent l="0" t="0" r="6350" b="7620"/>
          <wp:wrapNone/>
          <wp:docPr id="2055747230" name="Picture 205574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47230"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sidRPr="009E6C48">
      <w:rPr>
        <w:noProof/>
        <w:lang w:val="en-CA"/>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268314275" name="Picture 26831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14275"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rsidRPr="009E6C48">
      <w:rPr>
        <w:lang w:val="en-C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520A66FF" w14:textId="5D55B9B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-55245</wp:posOffset>
              </wp:positionV>
              <wp:extent cx="5532755" cy="335280"/>
              <wp:effectExtent l="0" t="0" r="0" b="0"/>
              <wp:wrapNone/>
              <wp:docPr id="49464761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wps:spPr>
                    <wps:txbx>
                      <w:txbxContent>
                        <w:p w:rsidR="00761C9C" w:rsidRPr="0089063F" w14:textId="1CD1CC87">
                          <w:pPr>
                            <w:rPr>
                              <w:rFonts w:ascii="Calibri Light" w:hAnsi="Calibri Light" w:cs="Calibri Light"/>
                              <w:color w:val="474747"/>
                              <w:sz w:val="20"/>
                            </w:rPr>
                          </w:pPr>
                          <w:r>
                            <w:rPr>
                              <w:rFonts w:ascii="Calibri Light" w:hAnsi="Calibri Light" w:cs="Calibri Light"/>
                              <w:color w:val="474747"/>
                              <w:sz w:val="20"/>
                            </w:rPr>
                            <w:t>IDENTIFYING AN</w:t>
                          </w:r>
                          <w:r w:rsidR="002E28D6">
                            <w:rPr>
                              <w:rFonts w:ascii="Calibri Light" w:hAnsi="Calibri Light" w:cs="Calibri Light"/>
                              <w:color w:val="474747"/>
                              <w:sz w:val="20"/>
                            </w:rPr>
                            <w:t>D</w:t>
                          </w:r>
                          <w:r>
                            <w:rPr>
                              <w:rFonts w:ascii="Calibri Light" w:hAnsi="Calibri Light" w:cs="Calibri Light"/>
                              <w:color w:val="474747"/>
                              <w:sz w:val="20"/>
                            </w:rPr>
                            <w:t xml:space="preserve"> RETAINING KEY EMPLOYEES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435.65pt;height:26.4pt;margin-top:-4.35pt;margin-left:49.95pt;mso-height-percent:0;mso-height-relative:page;mso-width-percent:0;mso-width-relative:page;mso-wrap-distance-bottom:0;mso-wrap-distance-left:9pt;mso-wrap-distance-right:9pt;mso-wrap-distance-top:0;mso-wrap-style:square;position:absolute;v-text-anchor:top;visibility:visible;z-index:251659264" filled="f" stroked="f">
              <v:textbox>
                <w:txbxContent>
                  <w:p w:rsidR="00761C9C" w:rsidRPr="0089063F" w14:paraId="4F14BEC1" w14:textId="1CD1CC87">
                    <w:pPr>
                      <w:rPr>
                        <w:rFonts w:ascii="Calibri Light" w:hAnsi="Calibri Light" w:cs="Calibri Light"/>
                        <w:color w:val="474747"/>
                        <w:sz w:val="20"/>
                      </w:rPr>
                    </w:pPr>
                    <w:r>
                      <w:rPr>
                        <w:rFonts w:ascii="Calibri Light" w:hAnsi="Calibri Light" w:cs="Calibri Light"/>
                        <w:color w:val="474747"/>
                        <w:sz w:val="20"/>
                      </w:rPr>
                      <w:t>IDENTIFYING AN</w:t>
                    </w:r>
                    <w:r w:rsidR="002E28D6">
                      <w:rPr>
                        <w:rFonts w:ascii="Calibri Light" w:hAnsi="Calibri Light" w:cs="Calibri Light"/>
                        <w:color w:val="474747"/>
                        <w:sz w:val="20"/>
                      </w:rPr>
                      <w:t>D</w:t>
                    </w:r>
                    <w:r>
                      <w:rPr>
                        <w:rFonts w:ascii="Calibri Light" w:hAnsi="Calibri Light" w:cs="Calibri Light"/>
                        <w:color w:val="474747"/>
                        <w:sz w:val="20"/>
                      </w:rPr>
                      <w:t xml:space="preserve"> RETAINING KEY EMPLOYEES</w:t>
                    </w:r>
                  </w:p>
                </w:txbxContent>
              </v:textbox>
            </v:shape>
          </w:pict>
        </mc:Fallback>
      </mc:AlternateContent>
    </w:r>
    <w:r w:rsidR="0089063F">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-457200</wp:posOffset>
          </wp:positionV>
          <wp:extent cx="7551420" cy="106728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list UK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51420" cy="106728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13"/>
    <w:rsid w:val="0001213B"/>
    <w:rsid w:val="00014B88"/>
    <w:rsid w:val="0001552B"/>
    <w:rsid w:val="000951C9"/>
    <w:rsid w:val="000A4DC4"/>
    <w:rsid w:val="000E0E79"/>
    <w:rsid w:val="000E2EC8"/>
    <w:rsid w:val="000E6302"/>
    <w:rsid w:val="000F4444"/>
    <w:rsid w:val="00103644"/>
    <w:rsid w:val="001425EC"/>
    <w:rsid w:val="001B417D"/>
    <w:rsid w:val="001C351B"/>
    <w:rsid w:val="001C4B3C"/>
    <w:rsid w:val="00272EEB"/>
    <w:rsid w:val="002A40EB"/>
    <w:rsid w:val="002B0854"/>
    <w:rsid w:val="002B319E"/>
    <w:rsid w:val="002B5A08"/>
    <w:rsid w:val="002C4140"/>
    <w:rsid w:val="002D4646"/>
    <w:rsid w:val="002E28D6"/>
    <w:rsid w:val="00334F8F"/>
    <w:rsid w:val="003678E3"/>
    <w:rsid w:val="003B6CE7"/>
    <w:rsid w:val="003F1ABD"/>
    <w:rsid w:val="00440B07"/>
    <w:rsid w:val="004E2D24"/>
    <w:rsid w:val="00507AA2"/>
    <w:rsid w:val="005570CC"/>
    <w:rsid w:val="00575831"/>
    <w:rsid w:val="005840CD"/>
    <w:rsid w:val="005C2D59"/>
    <w:rsid w:val="00624C30"/>
    <w:rsid w:val="006622DC"/>
    <w:rsid w:val="006942A1"/>
    <w:rsid w:val="006A73F8"/>
    <w:rsid w:val="00761C9C"/>
    <w:rsid w:val="0077360B"/>
    <w:rsid w:val="00787339"/>
    <w:rsid w:val="007E1C18"/>
    <w:rsid w:val="007F1F69"/>
    <w:rsid w:val="007F5C7F"/>
    <w:rsid w:val="008140B5"/>
    <w:rsid w:val="0084157B"/>
    <w:rsid w:val="0089063F"/>
    <w:rsid w:val="008F5DBD"/>
    <w:rsid w:val="00905D15"/>
    <w:rsid w:val="00980A8B"/>
    <w:rsid w:val="009D4713"/>
    <w:rsid w:val="009E6C48"/>
    <w:rsid w:val="00A50524"/>
    <w:rsid w:val="00A9170F"/>
    <w:rsid w:val="00AA0111"/>
    <w:rsid w:val="00B87755"/>
    <w:rsid w:val="00C87C79"/>
    <w:rsid w:val="00CE39E2"/>
    <w:rsid w:val="00D10C46"/>
    <w:rsid w:val="00D7777E"/>
    <w:rsid w:val="00DC767B"/>
    <w:rsid w:val="00DE5CC4"/>
    <w:rsid w:val="00E36092"/>
    <w:rsid w:val="00E72467"/>
    <w:rsid w:val="00EC4328"/>
    <w:rsid w:val="00F40EE3"/>
    <w:rsid w:val="00F472BC"/>
    <w:rsid w:val="00F81903"/>
    <w:rsid w:val="00FC47E3"/>
    <w:rsid w:val="00FE5FA8"/>
  </w:rsids>
  <w:docVars>
    <w:docVar w:name="__Grammarly_42___1" w:val="H4sIAAAAAAAEAKtWcslP9kxRslIyNDY2sjC2tDQ0MDe3MDCxtDBS0lEKTi0uzszPAykwrAUAJCcAU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7EA22"/>
  <w15:docId w15:val="{236409E5-29E6-4B9C-ABDC-16B40110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8F5DBD"/>
    <w:rPr>
      <w:rFonts w:asciiTheme="majorHAnsi" w:hAnsiTheme="majorHAnsi" w:cstheme="majorHAnsi"/>
      <w:sz w:val="18"/>
      <w:szCs w:val="18"/>
      <w:lang w:val="en-GB"/>
    </w:rPr>
  </w:style>
  <w:style w:type="character" w:customStyle="1" w:styleId="ListsChar">
    <w:name w:val="Lists Char"/>
    <w:basedOn w:val="DefaultParagraphFont"/>
    <w:link w:val="Lists"/>
    <w:rsid w:val="008F5DBD"/>
    <w:rPr>
      <w:rFonts w:eastAsia="Times New Roman" w:asciiTheme="majorHAnsi" w:hAnsiTheme="majorHAnsi" w:cstheme="majorHAnsi"/>
      <w:sz w:val="18"/>
      <w:szCs w:val="18"/>
      <w:lang w:val="en-GB"/>
    </w:rPr>
  </w:style>
  <w:style w:type="character" w:styleId="CommentReference">
    <w:name w:val="annotation reference"/>
    <w:basedOn w:val="DefaultParagraphFont"/>
    <w:uiPriority w:val="99"/>
    <w:semiHidden/>
    <w:unhideWhenUsed/>
    <w:rsid w:val="00D10C46"/>
    <w:rPr>
      <w:sz w:val="16"/>
      <w:szCs w:val="16"/>
    </w:rPr>
  </w:style>
  <w:style w:type="paragraph" w:styleId="CommentText">
    <w:name w:val="annotation text"/>
    <w:basedOn w:val="Normal"/>
    <w:link w:val="CommentTextChar"/>
    <w:uiPriority w:val="99"/>
    <w:unhideWhenUsed/>
    <w:rsid w:val="00D10C46"/>
    <w:rPr>
      <w:sz w:val="20"/>
      <w:szCs w:val="20"/>
    </w:rPr>
  </w:style>
  <w:style w:type="character" w:customStyle="1" w:styleId="CommentTextChar">
    <w:name w:val="Comment Text Char"/>
    <w:basedOn w:val="DefaultParagraphFont"/>
    <w:link w:val="CommentText"/>
    <w:uiPriority w:val="99"/>
    <w:rsid w:val="00D10C46"/>
    <w:rPr>
      <w:rFonts w:ascii="Times New Roman" w:eastAsia="Times New Roman" w:hAnsi="Times New Roman"/>
    </w:rPr>
  </w:style>
  <w:style w:type="paragraph" w:styleId="Revision">
    <w:name w:val="Revision"/>
    <w:hidden/>
    <w:uiPriority w:val="99"/>
    <w:semiHidden/>
    <w:rsid w:val="00AA0111"/>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81903"/>
    <w:rPr>
      <w:b/>
      <w:bCs/>
    </w:rPr>
  </w:style>
  <w:style w:type="character" w:customStyle="1" w:styleId="CommentSubjectChar">
    <w:name w:val="Comment Subject Char"/>
    <w:basedOn w:val="CommentTextChar"/>
    <w:link w:val="CommentSubject"/>
    <w:uiPriority w:val="99"/>
    <w:semiHidden/>
    <w:rsid w:val="00F8190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6861-47C5-4342-8F79-58A926116B98}">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Lemner, Morgan</cp:lastModifiedBy>
  <cp:revision>2</cp:revision>
  <dcterms:created xsi:type="dcterms:W3CDTF">2023-06-05T19:15:00Z</dcterms:created>
  <dcterms:modified xsi:type="dcterms:W3CDTF">2023-06-05T19:15:00Z</dcterms:modified>
</cp:coreProperties>
</file>