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BA393C" w:rsidRPr="00FC03E5" w:rsidP="00BA393C" w14:paraId="3D5F73D7" w14:textId="77777777">
      <w:pPr>
        <w:pStyle w:val="Subtitle"/>
        <w:rPr>
          <w:rFonts w:eastAsia="Times New Roman" w:asciiTheme="majorHAnsi" w:hAnsiTheme="majorHAnsi" w:cstheme="majorHAnsi"/>
          <w:color w:val="auto"/>
          <w:spacing w:val="0"/>
          <w:szCs w:val="18"/>
          <w:lang w:val="en-GB"/>
        </w:rPr>
      </w:pPr>
      <w:r w:rsidRPr="00A426F7">
        <w:rPr>
          <w:rFonts w:eastAsia="Times New Roman" w:asciiTheme="majorHAnsi" w:hAnsiTheme="majorHAnsi" w:cstheme="majorHAnsi"/>
          <w:color w:val="auto"/>
          <w:spacing w:val="0"/>
          <w:szCs w:val="18"/>
          <w:lang w:val="en-GB"/>
        </w:rPr>
        <w:t xml:space="preserve">Hiring the </w:t>
      </w:r>
      <w:r w:rsidRPr="00FC03E5">
        <w:rPr>
          <w:rFonts w:eastAsia="Times New Roman" w:asciiTheme="majorHAnsi" w:hAnsiTheme="majorHAnsi" w:cstheme="majorHAnsi"/>
          <w:color w:val="auto"/>
          <w:spacing w:val="0"/>
          <w:szCs w:val="18"/>
          <w:lang w:val="en-GB"/>
        </w:rPr>
        <w:t xml:space="preserve">wrong person for a position can be costly and time-consuming. It can also create unsafe workplaces; damage morale, company culture and employer branding; increase employee turnover; and reduce productivity. For this reason, many employers are focusing on how to improve hiring outcomes. </w:t>
      </w:r>
    </w:p>
    <w:p w:rsidR="00BA393C" w:rsidRPr="00FC03E5" w:rsidP="00BA393C" w14:paraId="11EBE6F6" w14:textId="77777777">
      <w:pPr>
        <w:pStyle w:val="Subtitle"/>
        <w:rPr>
          <w:b/>
          <w:bCs/>
          <w:lang w:val="en-GB"/>
        </w:rPr>
      </w:pPr>
      <w:r w:rsidRPr="00FC03E5">
        <w:rPr>
          <w:b/>
          <w:bCs/>
          <w:lang w:val="en-GB"/>
        </w:rPr>
        <w:t>Overview</w:t>
      </w:r>
    </w:p>
    <w:p w:rsidR="00BA393C" w:rsidRPr="00FC03E5" w:rsidP="00BA393C" w14:paraId="22081567" w14:textId="35D11023">
      <w:pPr>
        <w:pStyle w:val="Subtitle"/>
        <w:rPr>
          <w:rFonts w:eastAsia="Times New Roman" w:asciiTheme="majorHAnsi" w:hAnsiTheme="majorHAnsi" w:cstheme="majorHAnsi"/>
          <w:color w:val="auto"/>
          <w:spacing w:val="0"/>
          <w:szCs w:val="18"/>
          <w:lang w:val="en-GB"/>
        </w:rPr>
      </w:pPr>
      <w:r w:rsidRPr="00FC03E5">
        <w:rPr>
          <w:rFonts w:eastAsia="Times New Roman" w:asciiTheme="majorHAnsi" w:hAnsiTheme="majorHAnsi" w:cstheme="majorHAnsi"/>
          <w:color w:val="auto"/>
          <w:spacing w:val="0"/>
          <w:szCs w:val="18"/>
          <w:lang w:val="en-GB"/>
        </w:rPr>
        <w:t>Organ</w:t>
      </w:r>
      <w:r w:rsidRPr="00FC03E5" w:rsidR="007F7C42">
        <w:rPr>
          <w:rFonts w:eastAsia="Times New Roman" w:asciiTheme="majorHAnsi" w:hAnsiTheme="majorHAnsi" w:cstheme="majorHAnsi"/>
          <w:color w:val="auto"/>
          <w:spacing w:val="0"/>
          <w:szCs w:val="18"/>
          <w:lang w:val="en-GB"/>
        </w:rPr>
        <w:t>isation</w:t>
      </w:r>
      <w:r w:rsidRPr="00FC03E5">
        <w:rPr>
          <w:rFonts w:eastAsia="Times New Roman" w:asciiTheme="majorHAnsi" w:hAnsiTheme="majorHAnsi" w:cstheme="majorHAnsi"/>
          <w:color w:val="auto"/>
          <w:spacing w:val="0"/>
          <w:szCs w:val="18"/>
          <w:lang w:val="en-GB"/>
        </w:rPr>
        <w:t xml:space="preserve">s that strive to hire the right individual the first time may experience numerous benefits in employee performance, job satisfaction and retention. These </w:t>
      </w:r>
      <w:r w:rsidRPr="00FC03E5" w:rsidR="00A66E71">
        <w:rPr>
          <w:rFonts w:eastAsia="Times New Roman" w:asciiTheme="majorHAnsi" w:hAnsiTheme="majorHAnsi" w:cstheme="majorHAnsi"/>
          <w:color w:val="auto"/>
          <w:spacing w:val="0"/>
          <w:szCs w:val="18"/>
          <w:lang w:val="en-GB"/>
        </w:rPr>
        <w:t>check</w:t>
      </w:r>
      <w:r w:rsidRPr="00FC03E5">
        <w:rPr>
          <w:rFonts w:eastAsia="Times New Roman" w:asciiTheme="majorHAnsi" w:hAnsiTheme="majorHAnsi" w:cstheme="majorHAnsi"/>
          <w:color w:val="auto"/>
          <w:spacing w:val="0"/>
          <w:szCs w:val="18"/>
          <w:lang w:val="en-GB"/>
        </w:rPr>
        <w:t xml:space="preserve">lists outline key steps for employers to consider when establishing workplace </w:t>
      </w:r>
      <w:r w:rsidRPr="00FC03E5" w:rsidR="007F7C42">
        <w:rPr>
          <w:rFonts w:eastAsia="Times New Roman" w:asciiTheme="majorHAnsi" w:hAnsiTheme="majorHAnsi" w:cstheme="majorHAnsi"/>
          <w:color w:val="auto"/>
          <w:spacing w:val="0"/>
          <w:szCs w:val="18"/>
          <w:lang w:val="en-GB"/>
        </w:rPr>
        <w:t>practi</w:t>
      </w:r>
      <w:r w:rsidRPr="00FC03E5" w:rsidR="00BE41A5">
        <w:rPr>
          <w:rFonts w:eastAsia="Times New Roman" w:asciiTheme="majorHAnsi" w:hAnsiTheme="majorHAnsi" w:cstheme="majorHAnsi"/>
          <w:color w:val="auto"/>
          <w:spacing w:val="0"/>
          <w:szCs w:val="18"/>
          <w:lang w:val="en-GB"/>
        </w:rPr>
        <w:t>c</w:t>
      </w:r>
      <w:r w:rsidRPr="00FC03E5" w:rsidR="007F7C42">
        <w:rPr>
          <w:rFonts w:eastAsia="Times New Roman" w:asciiTheme="majorHAnsi" w:hAnsiTheme="majorHAnsi" w:cstheme="majorHAnsi"/>
          <w:color w:val="auto"/>
          <w:spacing w:val="0"/>
          <w:szCs w:val="18"/>
          <w:lang w:val="en-GB"/>
        </w:rPr>
        <w:t>e</w:t>
      </w:r>
      <w:r w:rsidRPr="00FC03E5">
        <w:rPr>
          <w:rFonts w:eastAsia="Times New Roman" w:asciiTheme="majorHAnsi" w:hAnsiTheme="majorHAnsi" w:cstheme="majorHAnsi"/>
          <w:color w:val="auto"/>
          <w:spacing w:val="0"/>
          <w:szCs w:val="18"/>
          <w:lang w:val="en-GB"/>
        </w:rPr>
        <w:t>s to improve the hiring process at their organ</w:t>
      </w:r>
      <w:r w:rsidRPr="00FC03E5" w:rsidR="007F7C42">
        <w:rPr>
          <w:rFonts w:eastAsia="Times New Roman" w:asciiTheme="majorHAnsi" w:hAnsiTheme="majorHAnsi" w:cstheme="majorHAnsi"/>
          <w:color w:val="auto"/>
          <w:spacing w:val="0"/>
          <w:szCs w:val="18"/>
          <w:lang w:val="en-GB"/>
        </w:rPr>
        <w:t>isation</w:t>
      </w:r>
      <w:r w:rsidRPr="00FC03E5" w:rsidR="004B70E9">
        <w:rPr>
          <w:rFonts w:eastAsia="Times New Roman" w:asciiTheme="majorHAnsi" w:hAnsiTheme="majorHAnsi" w:cstheme="majorHAnsi"/>
          <w:color w:val="auto"/>
          <w:spacing w:val="0"/>
          <w:szCs w:val="18"/>
          <w:lang w:val="en-GB"/>
        </w:rPr>
        <w:t>s</w:t>
      </w:r>
      <w:r w:rsidRPr="00FC03E5">
        <w:rPr>
          <w:rFonts w:eastAsia="Times New Roman" w:asciiTheme="majorHAnsi" w:hAnsiTheme="majorHAnsi" w:cstheme="majorHAnsi"/>
          <w:color w:val="auto"/>
          <w:spacing w:val="0"/>
          <w:szCs w:val="18"/>
          <w:lang w:val="en-GB"/>
        </w:rPr>
        <w:t xml:space="preserve"> for more positive hiring outcomes. Because the hiring process can differ based on an organ</w:t>
      </w:r>
      <w:r w:rsidRPr="00FC03E5" w:rsidR="007F7C42">
        <w:rPr>
          <w:rFonts w:eastAsia="Times New Roman" w:asciiTheme="majorHAnsi" w:hAnsiTheme="majorHAnsi" w:cstheme="majorHAnsi"/>
          <w:color w:val="auto"/>
          <w:spacing w:val="0"/>
          <w:szCs w:val="18"/>
          <w:lang w:val="en-GB"/>
        </w:rPr>
        <w:t>isation</w:t>
      </w:r>
      <w:r w:rsidRPr="00FC03E5">
        <w:rPr>
          <w:rFonts w:eastAsia="Times New Roman" w:asciiTheme="majorHAnsi" w:hAnsiTheme="majorHAnsi" w:cstheme="majorHAnsi"/>
          <w:color w:val="auto"/>
          <w:spacing w:val="0"/>
          <w:szCs w:val="18"/>
          <w:lang w:val="en-GB"/>
        </w:rPr>
        <w:t xml:space="preserve">’s </w:t>
      </w:r>
      <w:r w:rsidRPr="00FC03E5" w:rsidR="00675BC7">
        <w:rPr>
          <w:rFonts w:eastAsia="Times New Roman" w:asciiTheme="majorHAnsi" w:hAnsiTheme="majorHAnsi" w:cstheme="majorHAnsi"/>
          <w:color w:val="auto"/>
          <w:spacing w:val="0"/>
          <w:szCs w:val="18"/>
          <w:lang w:val="en-GB"/>
        </w:rPr>
        <w:t>size</w:t>
      </w:r>
      <w:r w:rsidRPr="00FC03E5">
        <w:rPr>
          <w:rFonts w:eastAsia="Times New Roman" w:asciiTheme="majorHAnsi" w:hAnsiTheme="majorHAnsi" w:cstheme="majorHAnsi"/>
          <w:color w:val="auto"/>
          <w:spacing w:val="0"/>
          <w:szCs w:val="18"/>
          <w:lang w:val="en-GB"/>
        </w:rPr>
        <w:t xml:space="preserve"> and other factors, the steps in these lists should be modified to meet the unique needs of an organ</w:t>
      </w:r>
      <w:r w:rsidRPr="00FC03E5" w:rsidR="007F7C42">
        <w:rPr>
          <w:rFonts w:eastAsia="Times New Roman" w:asciiTheme="majorHAnsi" w:hAnsiTheme="majorHAnsi" w:cstheme="majorHAnsi"/>
          <w:color w:val="auto"/>
          <w:spacing w:val="0"/>
          <w:szCs w:val="18"/>
          <w:lang w:val="en-GB"/>
        </w:rPr>
        <w:t>isation</w:t>
      </w:r>
      <w:r w:rsidRPr="00FC03E5">
        <w:rPr>
          <w:rFonts w:eastAsia="Times New Roman" w:asciiTheme="majorHAnsi" w:hAnsiTheme="majorHAnsi" w:cstheme="majorHAnsi"/>
          <w:color w:val="auto"/>
          <w:spacing w:val="0"/>
          <w:szCs w:val="18"/>
          <w:lang w:val="en-GB"/>
        </w:rPr>
        <w:t>.</w:t>
      </w:r>
    </w:p>
    <w:tbl>
      <w:tblPr>
        <w:tblW w:w="4812"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184"/>
        <w:gridCol w:w="1503"/>
      </w:tblGrid>
      <w:tr w14:paraId="44E71C45" w14:textId="77777777" w:rsidTr="00F20EBA">
        <w:tblPrEx>
          <w:tblW w:w="4812"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178"/>
        </w:trPr>
        <w:tc>
          <w:tcPr>
            <w:tcW w:w="4135" w:type="pct"/>
            <w:tcBorders>
              <w:top w:val="nil"/>
              <w:left w:val="nil"/>
              <w:right w:val="nil"/>
            </w:tcBorders>
            <w:shd w:val="clear" w:color="auto" w:fill="474747"/>
            <w:vAlign w:val="center"/>
          </w:tcPr>
          <w:p w:rsidR="00BA393C" w:rsidRPr="00FC03E5" w:rsidP="00F20EBA" w14:paraId="2B29E670" w14:textId="77777777">
            <w:pPr>
              <w:pStyle w:val="SectionHeading"/>
              <w:spacing w:after="120"/>
              <w:rPr>
                <w:rFonts w:asciiTheme="majorHAnsi" w:hAnsiTheme="majorHAnsi" w:cstheme="majorHAnsi"/>
                <w:color w:val="FFFFFF" w:themeColor="background1"/>
                <w:sz w:val="22"/>
                <w:lang w:val="en-GB"/>
              </w:rPr>
            </w:pPr>
            <w:r w:rsidRPr="00FC03E5">
              <w:rPr>
                <w:rFonts w:asciiTheme="majorHAnsi" w:hAnsiTheme="majorHAnsi" w:cstheme="majorHAnsi"/>
                <w:color w:val="FFFFFF" w:themeColor="background1"/>
                <w:sz w:val="22"/>
                <w:lang w:val="en-GB"/>
              </w:rPr>
              <w:t xml:space="preserve">Recruitment Strategy </w:t>
            </w:r>
          </w:p>
        </w:tc>
        <w:tc>
          <w:tcPr>
            <w:tcW w:w="865" w:type="pct"/>
            <w:tcBorders>
              <w:top w:val="nil"/>
              <w:left w:val="nil"/>
              <w:bottom w:val="single" w:sz="2" w:space="0" w:color="808080"/>
              <w:right w:val="nil"/>
            </w:tcBorders>
            <w:shd w:val="clear" w:color="auto" w:fill="474747"/>
          </w:tcPr>
          <w:p w:rsidR="00BA393C" w:rsidRPr="00FC03E5" w:rsidP="00F20EBA" w14:paraId="017A1E40" w14:textId="77777777">
            <w:pPr>
              <w:spacing w:before="60" w:after="120" w:line="280" w:lineRule="atLeast"/>
              <w:jc w:val="center"/>
              <w:rPr>
                <w:rFonts w:asciiTheme="majorHAnsi" w:hAnsiTheme="majorHAnsi" w:cstheme="majorHAnsi"/>
                <w:b/>
                <w:color w:val="FFFFFF" w:themeColor="background1"/>
                <w:sz w:val="22"/>
                <w:szCs w:val="18"/>
                <w:lang w:val="en-GB"/>
              </w:rPr>
            </w:pPr>
            <w:r w:rsidRPr="00FC03E5">
              <w:rPr>
                <w:rFonts w:asciiTheme="majorHAnsi" w:hAnsiTheme="majorHAnsi" w:cstheme="majorHAnsi"/>
                <w:b/>
                <w:color w:val="FFFFFF" w:themeColor="background1"/>
                <w:sz w:val="22"/>
                <w:szCs w:val="18"/>
                <w:lang w:val="en-GB"/>
              </w:rPr>
              <w:t>Completed</w:t>
            </w:r>
          </w:p>
        </w:tc>
      </w:tr>
      <w:tr w14:paraId="2B66C42B" w14:textId="77777777" w:rsidTr="00F20EBA">
        <w:tblPrEx>
          <w:tblW w:w="4812" w:type="pct"/>
          <w:tblLook w:val="01E0"/>
        </w:tblPrEx>
        <w:trPr>
          <w:trHeight w:val="296"/>
        </w:trPr>
        <w:tc>
          <w:tcPr>
            <w:tcW w:w="4135" w:type="pct"/>
            <w:tcBorders>
              <w:right w:val="single" w:sz="2" w:space="0" w:color="808080"/>
            </w:tcBorders>
            <w:vAlign w:val="center"/>
          </w:tcPr>
          <w:p w:rsidR="00BA393C" w:rsidRPr="00FC03E5" w:rsidP="00F20EBA" w14:paraId="7134648C" w14:textId="77777777">
            <w:pPr>
              <w:pStyle w:val="Lists"/>
            </w:pPr>
            <w:r w:rsidRPr="00FC03E5">
              <w:t>Audit current recruitment processes for areas that could be improved.</w:t>
            </w:r>
          </w:p>
        </w:tc>
        <w:sdt>
          <w:sdtPr>
            <w:rPr>
              <w:lang w:val="en-GB"/>
            </w:rPr>
            <w:id w:val="-1708246878"/>
            <w14:checkbox>
              <w14:checked w14:val="0"/>
              <w14:checkedState w14:val="2612" w14:font="MS Gothic"/>
              <w14:uncheckedState w14:val="2610" w14:font="MS Gothic"/>
            </w14:checkbox>
          </w:sdtPr>
          <w:sdtContent>
            <w:tc>
              <w:tcPr>
                <w:tcW w:w="865" w:type="pct"/>
                <w:tcBorders>
                  <w:left w:val="single" w:sz="2" w:space="0" w:color="808080"/>
                </w:tcBorders>
                <w:vAlign w:val="center"/>
              </w:tcPr>
              <w:p w:rsidR="00BA393C" w:rsidRPr="00FC03E5" w:rsidP="00F20EBA" w14:paraId="0202403B" w14:textId="77777777">
                <w:pPr>
                  <w:jc w:val="center"/>
                  <w:rPr>
                    <w:lang w:val="en-GB"/>
                  </w:rPr>
                </w:pPr>
                <w:r w:rsidRPr="00FC03E5">
                  <w:rPr>
                    <w:rFonts w:ascii="MS Gothic" w:eastAsia="MS Gothic" w:hAnsi="MS Gothic" w:cs="MS Gothic"/>
                    <w:lang w:val="en-GB"/>
                  </w:rPr>
                  <w:t>☐</w:t>
                </w:r>
              </w:p>
            </w:tc>
          </w:sdtContent>
        </w:sdt>
      </w:tr>
      <w:tr w14:paraId="7377DC43" w14:textId="77777777" w:rsidTr="00F20EBA">
        <w:tblPrEx>
          <w:tblW w:w="4812" w:type="pct"/>
          <w:tblLook w:val="01E0"/>
        </w:tblPrEx>
        <w:trPr>
          <w:trHeight w:val="296"/>
        </w:trPr>
        <w:tc>
          <w:tcPr>
            <w:tcW w:w="4135" w:type="pct"/>
            <w:tcBorders>
              <w:right w:val="single" w:sz="2" w:space="0" w:color="808080"/>
            </w:tcBorders>
            <w:vAlign w:val="center"/>
          </w:tcPr>
          <w:p w:rsidR="00BA393C" w:rsidRPr="00FC03E5" w:rsidP="00F20EBA" w14:paraId="208069F6" w14:textId="77777777">
            <w:pPr>
              <w:pStyle w:val="Lists"/>
            </w:pPr>
            <w:r w:rsidRPr="00FC03E5">
              <w:t>Review key metrics, such as the following:</w:t>
            </w:r>
          </w:p>
          <w:p w:rsidR="00BA393C" w:rsidRPr="00FC03E5" w:rsidP="00BA393C" w14:paraId="796DBFA8" w14:textId="77777777">
            <w:pPr>
              <w:pStyle w:val="Lists"/>
              <w:numPr>
                <w:ilvl w:val="0"/>
                <w:numId w:val="1"/>
              </w:numPr>
              <w:spacing w:before="120" w:after="120"/>
            </w:pPr>
            <w:r w:rsidRPr="00FC03E5">
              <w:t>Application completion rate</w:t>
            </w:r>
          </w:p>
          <w:p w:rsidR="00BA393C" w:rsidRPr="00FC03E5" w:rsidP="00BA393C" w14:paraId="025E8034" w14:textId="77777777">
            <w:pPr>
              <w:pStyle w:val="Lists"/>
              <w:numPr>
                <w:ilvl w:val="0"/>
                <w:numId w:val="1"/>
              </w:numPr>
              <w:spacing w:before="120" w:after="120"/>
            </w:pPr>
            <w:r w:rsidRPr="00FC03E5">
              <w:t>Fill rate</w:t>
            </w:r>
          </w:p>
          <w:p w:rsidR="00BA393C" w:rsidRPr="00FC03E5" w:rsidP="00BA393C" w14:paraId="7E68FB37" w14:textId="77777777">
            <w:pPr>
              <w:pStyle w:val="Lists"/>
              <w:numPr>
                <w:ilvl w:val="0"/>
                <w:numId w:val="1"/>
              </w:numPr>
              <w:spacing w:before="120" w:after="120"/>
            </w:pPr>
            <w:r w:rsidRPr="00FC03E5">
              <w:t xml:space="preserve">Time to </w:t>
            </w:r>
            <w:r w:rsidRPr="00FC03E5">
              <w:t>hire</w:t>
            </w:r>
          </w:p>
          <w:p w:rsidR="00BA393C" w:rsidRPr="00FC03E5" w:rsidP="00BA393C" w14:paraId="1C7A7342" w14:textId="77777777">
            <w:pPr>
              <w:pStyle w:val="Lists"/>
              <w:numPr>
                <w:ilvl w:val="0"/>
                <w:numId w:val="1"/>
              </w:numPr>
              <w:spacing w:before="120" w:after="120"/>
            </w:pPr>
            <w:r w:rsidRPr="00FC03E5">
              <w:t>Retention rate</w:t>
            </w:r>
          </w:p>
          <w:p w:rsidR="00BA393C" w:rsidRPr="00FC03E5" w:rsidP="00BA393C" w14:paraId="20A4625A" w14:textId="77777777">
            <w:pPr>
              <w:pStyle w:val="Lists"/>
              <w:numPr>
                <w:ilvl w:val="0"/>
                <w:numId w:val="1"/>
              </w:numPr>
              <w:spacing w:before="120" w:after="120"/>
            </w:pPr>
            <w:r w:rsidRPr="00FC03E5">
              <w:t>Job satisfaction rate</w:t>
            </w:r>
          </w:p>
        </w:tc>
        <w:sdt>
          <w:sdtPr>
            <w:rPr>
              <w:lang w:val="en-GB"/>
            </w:rPr>
            <w:id w:val="-1620842693"/>
            <w14:checkbox>
              <w14:checked w14:val="0"/>
              <w14:checkedState w14:val="2612" w14:font="MS Gothic"/>
              <w14:uncheckedState w14:val="2610" w14:font="MS Gothic"/>
            </w14:checkbox>
          </w:sdtPr>
          <w:sdtContent>
            <w:tc>
              <w:tcPr>
                <w:tcW w:w="865" w:type="pct"/>
                <w:tcBorders>
                  <w:left w:val="single" w:sz="2" w:space="0" w:color="808080"/>
                </w:tcBorders>
                <w:vAlign w:val="center"/>
              </w:tcPr>
              <w:p w:rsidR="00BA393C" w:rsidRPr="00FC03E5" w:rsidP="00F20EBA" w14:paraId="5D5DD316" w14:textId="77777777">
                <w:pPr>
                  <w:jc w:val="center"/>
                  <w:rPr>
                    <w:lang w:val="en-GB"/>
                  </w:rPr>
                </w:pPr>
                <w:r w:rsidRPr="00FC03E5">
                  <w:rPr>
                    <w:rFonts w:ascii="MS Gothic" w:eastAsia="MS Gothic" w:hAnsi="MS Gothic" w:cs="MS Gothic"/>
                    <w:lang w:val="en-GB"/>
                  </w:rPr>
                  <w:t>☐</w:t>
                </w:r>
              </w:p>
            </w:tc>
          </w:sdtContent>
        </w:sdt>
      </w:tr>
      <w:tr w14:paraId="26822D88" w14:textId="77777777" w:rsidTr="00F20EBA">
        <w:tblPrEx>
          <w:tblW w:w="4812" w:type="pct"/>
          <w:tblLook w:val="01E0"/>
        </w:tblPrEx>
        <w:trPr>
          <w:trHeight w:val="296"/>
        </w:trPr>
        <w:tc>
          <w:tcPr>
            <w:tcW w:w="4135" w:type="pct"/>
            <w:tcBorders>
              <w:right w:val="single" w:sz="2" w:space="0" w:color="808080"/>
            </w:tcBorders>
            <w:vAlign w:val="center"/>
          </w:tcPr>
          <w:p w:rsidR="00BA393C" w:rsidRPr="00FC03E5" w:rsidP="00F20EBA" w14:paraId="5849FE69" w14:textId="6E3D8B75">
            <w:pPr>
              <w:pStyle w:val="Lists"/>
            </w:pPr>
            <w:r w:rsidRPr="00FC03E5">
              <w:t>Create a list of factors (</w:t>
            </w:r>
            <w:r w:rsidRPr="00FC03E5">
              <w:t>e</w:t>
            </w:r>
            <w:r w:rsidRPr="00FC03E5" w:rsidR="00137B4B">
              <w:t>g</w:t>
            </w:r>
            <w:r w:rsidRPr="00FC03E5">
              <w:t xml:space="preserve"> responsibility, trustworthiness) that lead to success in a job position, noting the characteristics and skills of former employees who did well in those roles.</w:t>
            </w:r>
          </w:p>
        </w:tc>
        <w:sdt>
          <w:sdtPr>
            <w:rPr>
              <w:lang w:val="en-GB"/>
            </w:rPr>
            <w:id w:val="1573154271"/>
            <w14:checkbox>
              <w14:checked w14:val="0"/>
              <w14:checkedState w14:val="2612" w14:font="MS Gothic"/>
              <w14:uncheckedState w14:val="2610" w14:font="MS Gothic"/>
            </w14:checkbox>
          </w:sdtPr>
          <w:sdtContent>
            <w:tc>
              <w:tcPr>
                <w:tcW w:w="865" w:type="pct"/>
                <w:tcBorders>
                  <w:left w:val="single" w:sz="2" w:space="0" w:color="808080"/>
                </w:tcBorders>
                <w:vAlign w:val="center"/>
              </w:tcPr>
              <w:p w:rsidR="00BA393C" w:rsidRPr="00FC03E5" w:rsidP="00F20EBA" w14:paraId="29B1D697" w14:textId="77777777">
                <w:pPr>
                  <w:jc w:val="center"/>
                  <w:rPr>
                    <w:lang w:val="en-GB"/>
                  </w:rPr>
                </w:pPr>
                <w:r w:rsidRPr="00FC03E5">
                  <w:rPr>
                    <w:rFonts w:ascii="MS Gothic" w:eastAsia="MS Gothic" w:hAnsi="MS Gothic" w:cs="MS Gothic"/>
                    <w:lang w:val="en-GB"/>
                  </w:rPr>
                  <w:t>☐</w:t>
                </w:r>
              </w:p>
            </w:tc>
          </w:sdtContent>
        </w:sdt>
      </w:tr>
      <w:tr w14:paraId="222F7CE7" w14:textId="77777777" w:rsidTr="00F20EBA">
        <w:tblPrEx>
          <w:tblW w:w="4812" w:type="pct"/>
          <w:tblLook w:val="01E0"/>
        </w:tblPrEx>
        <w:trPr>
          <w:trHeight w:val="296"/>
        </w:trPr>
        <w:tc>
          <w:tcPr>
            <w:tcW w:w="4135" w:type="pct"/>
            <w:tcBorders>
              <w:right w:val="single" w:sz="2" w:space="0" w:color="808080"/>
            </w:tcBorders>
            <w:vAlign w:val="center"/>
          </w:tcPr>
          <w:p w:rsidR="00BA393C" w:rsidRPr="00FC03E5" w:rsidP="00F20EBA" w14:paraId="6B19899A" w14:textId="77777777">
            <w:pPr>
              <w:pStyle w:val="Lists"/>
            </w:pPr>
            <w:r w:rsidRPr="00FC03E5">
              <w:t>Use various strategies for reaching potential employees, including:</w:t>
            </w:r>
          </w:p>
          <w:p w:rsidR="00BA393C" w:rsidRPr="00FC03E5" w:rsidP="00BA393C" w14:paraId="4DC0D8EC" w14:textId="249132DC">
            <w:pPr>
              <w:pStyle w:val="Lists"/>
              <w:numPr>
                <w:ilvl w:val="0"/>
                <w:numId w:val="2"/>
              </w:numPr>
              <w:spacing w:before="120" w:after="120"/>
            </w:pPr>
            <w:r w:rsidRPr="00FC03E5">
              <w:t xml:space="preserve">Employee referral </w:t>
            </w:r>
            <w:r w:rsidRPr="00FC03E5" w:rsidR="007F7C42">
              <w:t>programmes</w:t>
            </w:r>
          </w:p>
          <w:p w:rsidR="00BA393C" w:rsidRPr="00FC03E5" w:rsidP="00BA393C" w14:paraId="7A4EB8DC" w14:textId="77777777">
            <w:pPr>
              <w:pStyle w:val="Lists"/>
              <w:numPr>
                <w:ilvl w:val="0"/>
                <w:numId w:val="2"/>
              </w:numPr>
              <w:spacing w:before="120" w:after="120"/>
            </w:pPr>
            <w:r w:rsidRPr="00FC03E5">
              <w:t>Social media outreach</w:t>
            </w:r>
          </w:p>
          <w:p w:rsidR="00BA393C" w:rsidRPr="00FC03E5" w:rsidP="00BA393C" w14:paraId="3916DC0A" w14:textId="77777777">
            <w:pPr>
              <w:pStyle w:val="Lists"/>
              <w:numPr>
                <w:ilvl w:val="0"/>
                <w:numId w:val="2"/>
              </w:numPr>
              <w:spacing w:before="120" w:after="120"/>
            </w:pPr>
            <w:r w:rsidRPr="00FC03E5">
              <w:t>Networking</w:t>
            </w:r>
          </w:p>
          <w:p w:rsidR="00BA393C" w:rsidRPr="00FC03E5" w:rsidP="00BA393C" w14:paraId="3D0438E2" w14:textId="77777777">
            <w:pPr>
              <w:pStyle w:val="Lists"/>
              <w:numPr>
                <w:ilvl w:val="0"/>
                <w:numId w:val="2"/>
              </w:numPr>
              <w:spacing w:before="120" w:after="120"/>
            </w:pPr>
            <w:r w:rsidRPr="00FC03E5">
              <w:t>Conferences</w:t>
            </w:r>
          </w:p>
          <w:p w:rsidR="00BA393C" w:rsidRPr="00FC03E5" w:rsidP="00BA393C" w14:paraId="66071A5B" w14:textId="7D54DE4B">
            <w:pPr>
              <w:pStyle w:val="Lists"/>
              <w:numPr>
                <w:ilvl w:val="0"/>
                <w:numId w:val="2"/>
              </w:numPr>
              <w:spacing w:before="120" w:after="120"/>
            </w:pPr>
            <w:r w:rsidRPr="00FC03E5">
              <w:t xml:space="preserve">Intern-to-hire </w:t>
            </w:r>
            <w:r w:rsidRPr="00FC03E5" w:rsidR="007F7C42">
              <w:t>programmes</w:t>
            </w:r>
          </w:p>
        </w:tc>
        <w:sdt>
          <w:sdtPr>
            <w:rPr>
              <w:lang w:val="en-GB"/>
            </w:rPr>
            <w:id w:val="-902910857"/>
            <w14:checkbox>
              <w14:checked w14:val="0"/>
              <w14:checkedState w14:val="2612" w14:font="MS Gothic"/>
              <w14:uncheckedState w14:val="2610" w14:font="MS Gothic"/>
            </w14:checkbox>
          </w:sdtPr>
          <w:sdtContent>
            <w:tc>
              <w:tcPr>
                <w:tcW w:w="865" w:type="pct"/>
                <w:tcBorders>
                  <w:left w:val="single" w:sz="2" w:space="0" w:color="808080"/>
                </w:tcBorders>
                <w:vAlign w:val="center"/>
              </w:tcPr>
              <w:p w:rsidR="00BA393C" w:rsidRPr="00FC03E5" w:rsidP="00F20EBA" w14:paraId="398AF03F" w14:textId="77777777">
                <w:pPr>
                  <w:jc w:val="center"/>
                  <w:rPr>
                    <w:lang w:val="en-GB"/>
                  </w:rPr>
                </w:pPr>
                <w:r w:rsidRPr="00FC03E5">
                  <w:rPr>
                    <w:rFonts w:ascii="MS Gothic" w:eastAsia="MS Gothic" w:hAnsi="MS Gothic" w:cs="MS Gothic"/>
                    <w:lang w:val="en-GB"/>
                  </w:rPr>
                  <w:t>☐</w:t>
                </w:r>
              </w:p>
            </w:tc>
          </w:sdtContent>
        </w:sdt>
      </w:tr>
      <w:tr w14:paraId="57EF071D" w14:textId="77777777" w:rsidTr="00F20EBA">
        <w:tblPrEx>
          <w:tblW w:w="4812" w:type="pct"/>
          <w:tblLook w:val="01E0"/>
        </w:tblPrEx>
        <w:trPr>
          <w:trHeight w:val="296"/>
        </w:trPr>
        <w:tc>
          <w:tcPr>
            <w:tcW w:w="4135" w:type="pct"/>
            <w:tcBorders>
              <w:right w:val="single" w:sz="2" w:space="0" w:color="808080"/>
            </w:tcBorders>
            <w:vAlign w:val="center"/>
          </w:tcPr>
          <w:p w:rsidR="00BA393C" w:rsidRPr="00FC03E5" w:rsidP="00F20EBA" w14:paraId="12D75F7F" w14:textId="06067A61">
            <w:pPr>
              <w:pStyle w:val="Lists"/>
            </w:pPr>
            <w:r w:rsidRPr="00FC03E5">
              <w:t xml:space="preserve">Consider using mobile-friendly applications to appeal to a broader </w:t>
            </w:r>
            <w:r w:rsidRPr="00FC03E5" w:rsidR="00C677FB">
              <w:t>range</w:t>
            </w:r>
            <w:r w:rsidRPr="00FC03E5">
              <w:t xml:space="preserve"> of candidates.</w:t>
            </w:r>
          </w:p>
        </w:tc>
        <w:sdt>
          <w:sdtPr>
            <w:rPr>
              <w:lang w:val="en-GB"/>
            </w:rPr>
            <w:id w:val="692730853"/>
            <w14:checkbox>
              <w14:checked w14:val="0"/>
              <w14:checkedState w14:val="2612" w14:font="MS Gothic"/>
              <w14:uncheckedState w14:val="2610" w14:font="MS Gothic"/>
            </w14:checkbox>
          </w:sdtPr>
          <w:sdtContent>
            <w:tc>
              <w:tcPr>
                <w:tcW w:w="865" w:type="pct"/>
                <w:tcBorders>
                  <w:left w:val="single" w:sz="2" w:space="0" w:color="808080"/>
                </w:tcBorders>
                <w:vAlign w:val="center"/>
              </w:tcPr>
              <w:p w:rsidR="00BA393C" w:rsidRPr="00FC03E5" w:rsidP="00F20EBA" w14:paraId="6B7739BD" w14:textId="77777777">
                <w:pPr>
                  <w:jc w:val="center"/>
                  <w:rPr>
                    <w:lang w:val="en-GB"/>
                  </w:rPr>
                </w:pPr>
                <w:r w:rsidRPr="00FC03E5">
                  <w:rPr>
                    <w:rFonts w:ascii="MS Gothic" w:eastAsia="MS Gothic" w:hAnsi="MS Gothic" w:cs="MS Gothic"/>
                    <w:lang w:val="en-GB"/>
                  </w:rPr>
                  <w:t>☐</w:t>
                </w:r>
              </w:p>
            </w:tc>
          </w:sdtContent>
        </w:sdt>
      </w:tr>
      <w:tr w14:paraId="706F52C7" w14:textId="77777777" w:rsidTr="00F20EBA">
        <w:tblPrEx>
          <w:tblW w:w="4812" w:type="pct"/>
          <w:tblLook w:val="01E0"/>
        </w:tblPrEx>
        <w:trPr>
          <w:trHeight w:val="296"/>
        </w:trPr>
        <w:tc>
          <w:tcPr>
            <w:tcW w:w="4135" w:type="pct"/>
            <w:tcBorders>
              <w:right w:val="single" w:sz="2" w:space="0" w:color="808080"/>
            </w:tcBorders>
            <w:vAlign w:val="center"/>
          </w:tcPr>
          <w:p w:rsidR="00BA393C" w:rsidRPr="00FC03E5" w:rsidP="00F20EBA" w14:paraId="07F0BC54" w14:textId="77777777">
            <w:pPr>
              <w:pStyle w:val="Lists"/>
            </w:pPr>
            <w:r w:rsidRPr="00FC03E5">
              <w:t>Improve recruitment efficiency with applicant tracking systems.</w:t>
            </w:r>
          </w:p>
        </w:tc>
        <w:sdt>
          <w:sdtPr>
            <w:rPr>
              <w:lang w:val="en-GB"/>
            </w:rPr>
            <w:id w:val="287718343"/>
            <w14:checkbox>
              <w14:checked w14:val="0"/>
              <w14:checkedState w14:val="2612" w14:font="MS Gothic"/>
              <w14:uncheckedState w14:val="2610" w14:font="MS Gothic"/>
            </w14:checkbox>
          </w:sdtPr>
          <w:sdtContent>
            <w:tc>
              <w:tcPr>
                <w:tcW w:w="865" w:type="pct"/>
                <w:tcBorders>
                  <w:left w:val="single" w:sz="2" w:space="0" w:color="808080"/>
                </w:tcBorders>
                <w:vAlign w:val="center"/>
              </w:tcPr>
              <w:p w:rsidR="00BA393C" w:rsidRPr="00FC03E5" w:rsidP="00F20EBA" w14:paraId="39759F5C" w14:textId="77777777">
                <w:pPr>
                  <w:jc w:val="center"/>
                  <w:rPr>
                    <w:lang w:val="en-GB"/>
                  </w:rPr>
                </w:pPr>
                <w:r w:rsidRPr="00FC03E5">
                  <w:rPr>
                    <w:rFonts w:ascii="MS Gothic" w:eastAsia="MS Gothic" w:hAnsi="MS Gothic" w:cs="MS Gothic"/>
                    <w:lang w:val="en-GB"/>
                  </w:rPr>
                  <w:t>☐</w:t>
                </w:r>
              </w:p>
            </w:tc>
          </w:sdtContent>
        </w:sdt>
      </w:tr>
    </w:tbl>
    <w:p w:rsidR="00BA393C" w:rsidRPr="00FC03E5" w:rsidP="00BA393C" w14:paraId="79C78BA2" w14:textId="77777777">
      <w:pPr>
        <w:rPr>
          <w:rFonts w:asciiTheme="majorHAnsi" w:hAnsiTheme="majorHAnsi" w:cstheme="majorHAnsi"/>
          <w:sz w:val="28"/>
          <w:lang w:val="en-GB"/>
        </w:rPr>
      </w:pPr>
    </w:p>
    <w:p w:rsidR="00BA393C" w:rsidRPr="00FC03E5" w:rsidP="00BA393C" w14:paraId="7744C30E" w14:textId="77777777">
      <w:pPr>
        <w:rPr>
          <w:rFonts w:asciiTheme="majorHAnsi" w:hAnsiTheme="majorHAnsi" w:cstheme="majorHAnsi"/>
          <w:sz w:val="28"/>
          <w:lang w:val="en-GB"/>
        </w:rPr>
        <w:sectPr w:rsidSect="00AF52D9">
          <w:headerReference w:type="default" r:id="rId5"/>
          <w:footerReference w:type="default" r:id="rId6"/>
          <w:headerReference w:type="first" r:id="rId7"/>
          <w:footerReference w:type="first" r:id="rId8"/>
          <w:pgSz w:w="11906" w:h="16838" w:code="9"/>
          <w:pgMar w:top="2592" w:right="1440" w:bottom="1440" w:left="1440" w:header="720" w:footer="720" w:gutter="0"/>
          <w:cols w:space="720"/>
          <w:docGrid w:linePitch="360"/>
        </w:sectPr>
      </w:pPr>
    </w:p>
    <w:tbl>
      <w:tblPr>
        <w:tblpPr w:leftFromText="180" w:rightFromText="180" w:vertAnchor="text" w:horzAnchor="margin" w:tblpY="238"/>
        <w:tblW w:w="5093"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898"/>
        <w:gridCol w:w="1290"/>
      </w:tblGrid>
      <w:tr w14:paraId="3526CB86" w14:textId="77777777" w:rsidTr="000B749B">
        <w:tblPrEx>
          <w:tblW w:w="5093"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452"/>
        </w:trPr>
        <w:tc>
          <w:tcPr>
            <w:tcW w:w="4298" w:type="pct"/>
            <w:tcBorders>
              <w:right w:val="single" w:sz="2" w:space="0" w:color="808080"/>
            </w:tcBorders>
            <w:vAlign w:val="center"/>
          </w:tcPr>
          <w:p w:rsidR="00BA393C" w:rsidRPr="00FC03E5" w:rsidP="00F20EBA" w14:paraId="23FBDE02" w14:textId="77777777">
            <w:pPr>
              <w:pStyle w:val="Lists"/>
            </w:pPr>
            <w:r w:rsidRPr="00FC03E5">
              <w:t>Make the application process intuitive and accessible to increase the number of applicants.</w:t>
            </w:r>
          </w:p>
        </w:tc>
        <w:sdt>
          <w:sdtPr>
            <w:rPr>
              <w:lang w:val="en-GB"/>
            </w:rPr>
            <w:id w:val="606926852"/>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1080B830" w14:textId="77777777">
                <w:pPr>
                  <w:jc w:val="center"/>
                  <w:rPr>
                    <w:lang w:val="en-GB"/>
                  </w:rPr>
                </w:pPr>
                <w:r w:rsidRPr="00FC03E5">
                  <w:rPr>
                    <w:rFonts w:ascii="MS Gothic" w:eastAsia="MS Gothic" w:hAnsi="MS Gothic" w:cs="MS Gothic"/>
                    <w:lang w:val="en-GB"/>
                  </w:rPr>
                  <w:t>☐</w:t>
                </w:r>
              </w:p>
            </w:tc>
          </w:sdtContent>
        </w:sdt>
      </w:tr>
      <w:tr w14:paraId="5384D3B6" w14:textId="77777777" w:rsidTr="000B749B">
        <w:tblPrEx>
          <w:tblW w:w="5093" w:type="pct"/>
          <w:tblLook w:val="01E0"/>
        </w:tblPrEx>
        <w:trPr>
          <w:trHeight w:val="452"/>
        </w:trPr>
        <w:tc>
          <w:tcPr>
            <w:tcW w:w="4298" w:type="pct"/>
            <w:tcBorders>
              <w:right w:val="single" w:sz="2" w:space="0" w:color="808080"/>
            </w:tcBorders>
            <w:vAlign w:val="center"/>
          </w:tcPr>
          <w:p w:rsidR="00BA393C" w:rsidRPr="00FC03E5" w:rsidP="00F20EBA" w14:paraId="2C5AB576" w14:textId="77777777">
            <w:pPr>
              <w:pStyle w:val="Lists"/>
            </w:pPr>
            <w:r w:rsidRPr="00FC03E5">
              <w:t>Shift hiring focus from filling positions quickly to creating a talent pipeline that can be used as a resource over time.</w:t>
            </w:r>
          </w:p>
        </w:tc>
        <w:sdt>
          <w:sdtPr>
            <w:rPr>
              <w:lang w:val="en-GB"/>
            </w:rPr>
            <w:id w:val="826946485"/>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2EF04B48" w14:textId="77777777">
                <w:pPr>
                  <w:jc w:val="center"/>
                  <w:rPr>
                    <w:lang w:val="en-GB"/>
                  </w:rPr>
                </w:pPr>
                <w:r w:rsidRPr="00FC03E5">
                  <w:rPr>
                    <w:rFonts w:ascii="MS Gothic" w:eastAsia="MS Gothic" w:hAnsi="MS Gothic" w:cs="MS Gothic"/>
                    <w:lang w:val="en-GB"/>
                  </w:rPr>
                  <w:t>☐</w:t>
                </w:r>
              </w:p>
            </w:tc>
          </w:sdtContent>
        </w:sdt>
      </w:tr>
    </w:tbl>
    <w:p w:rsidR="00BA393C" w:rsidRPr="00FC03E5" w:rsidP="00BA393C" w14:paraId="29BABCB1" w14:textId="77777777">
      <w:pPr>
        <w:rPr>
          <w:rStyle w:val="cf01"/>
          <w:lang w:val="en-GB"/>
        </w:rPr>
      </w:pPr>
    </w:p>
    <w:p w:rsidR="00BA393C" w:rsidRPr="00FC03E5" w:rsidP="00BA393C" w14:paraId="7BE5A864" w14:textId="71430458">
      <w:pPr>
        <w:rPr>
          <w:rFonts w:asciiTheme="majorHAnsi" w:hAnsiTheme="majorHAnsi" w:cstheme="majorHAnsi"/>
          <w:sz w:val="22"/>
          <w:szCs w:val="22"/>
          <w:lang w:val="en-GB"/>
        </w:rPr>
      </w:pPr>
      <w:r w:rsidRPr="00FC03E5">
        <w:rPr>
          <w:rStyle w:val="cf01"/>
          <w:rFonts w:asciiTheme="majorHAnsi" w:hAnsiTheme="majorHAnsi" w:cstheme="majorHAnsi"/>
          <w:sz w:val="22"/>
          <w:szCs w:val="22"/>
          <w:lang w:val="en-GB"/>
        </w:rPr>
        <w:t>The hiring process is crucial for employers to attract and retain talented employees. Employers should focus on finding employees who align with organ</w:t>
      </w:r>
      <w:r w:rsidRPr="00FC03E5" w:rsidR="007F7C42">
        <w:rPr>
          <w:rStyle w:val="cf01"/>
          <w:rFonts w:asciiTheme="majorHAnsi" w:hAnsiTheme="majorHAnsi" w:cstheme="majorHAnsi"/>
          <w:sz w:val="22"/>
          <w:szCs w:val="22"/>
          <w:lang w:val="en-GB"/>
        </w:rPr>
        <w:t>isation</w:t>
      </w:r>
      <w:r w:rsidRPr="00FC03E5">
        <w:rPr>
          <w:rStyle w:val="cf01"/>
          <w:rFonts w:asciiTheme="majorHAnsi" w:hAnsiTheme="majorHAnsi" w:cstheme="majorHAnsi"/>
          <w:sz w:val="22"/>
          <w:szCs w:val="22"/>
          <w:lang w:val="en-GB"/>
        </w:rPr>
        <w:t xml:space="preserve">al goals and will positively contribute to company culture. Don’t rush potential hires to </w:t>
      </w:r>
      <w:r w:rsidRPr="00FC03E5">
        <w:rPr>
          <w:rStyle w:val="cf01"/>
          <w:rFonts w:asciiTheme="majorHAnsi" w:hAnsiTheme="majorHAnsi" w:cstheme="majorHAnsi"/>
          <w:sz w:val="22"/>
          <w:szCs w:val="22"/>
          <w:lang w:val="en-GB"/>
        </w:rPr>
        <w:t>make a decision</w:t>
      </w:r>
      <w:r w:rsidRPr="00FC03E5">
        <w:rPr>
          <w:rStyle w:val="cf01"/>
          <w:rFonts w:asciiTheme="majorHAnsi" w:hAnsiTheme="majorHAnsi" w:cstheme="majorHAnsi"/>
          <w:sz w:val="22"/>
          <w:szCs w:val="22"/>
          <w:lang w:val="en-GB"/>
        </w:rPr>
        <w:t xml:space="preserve">. Focus on building relationships. Finding the right candidate takes time. Review the following </w:t>
      </w:r>
      <w:r w:rsidRPr="00FC03E5" w:rsidR="00A66E71">
        <w:rPr>
          <w:rStyle w:val="cf01"/>
          <w:rFonts w:asciiTheme="majorHAnsi" w:hAnsiTheme="majorHAnsi" w:cstheme="majorHAnsi"/>
          <w:sz w:val="22"/>
          <w:szCs w:val="22"/>
          <w:lang w:val="en-GB"/>
        </w:rPr>
        <w:t>check</w:t>
      </w:r>
      <w:r w:rsidRPr="00FC03E5">
        <w:rPr>
          <w:rStyle w:val="cf01"/>
          <w:rFonts w:asciiTheme="majorHAnsi" w:hAnsiTheme="majorHAnsi" w:cstheme="majorHAnsi"/>
          <w:sz w:val="22"/>
          <w:szCs w:val="22"/>
          <w:lang w:val="en-GB"/>
        </w:rPr>
        <w:t>list to create an efficient hiring process that will lead to improved hiring outcomes:</w:t>
      </w:r>
    </w:p>
    <w:tbl>
      <w:tblPr>
        <w:tblpPr w:leftFromText="180" w:rightFromText="180" w:vertAnchor="text" w:horzAnchor="margin" w:tblpY="238"/>
        <w:tblW w:w="5093"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743"/>
        <w:gridCol w:w="160"/>
        <w:gridCol w:w="1291"/>
      </w:tblGrid>
      <w:tr w14:paraId="1CEA0E2B" w14:textId="77777777" w:rsidTr="000B749B">
        <w:tblPrEx>
          <w:tblW w:w="5093"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08"/>
        </w:trPr>
        <w:tc>
          <w:tcPr>
            <w:tcW w:w="4211" w:type="pct"/>
            <w:tcBorders>
              <w:top w:val="nil"/>
              <w:left w:val="nil"/>
              <w:right w:val="nil"/>
            </w:tcBorders>
            <w:shd w:val="clear" w:color="auto" w:fill="474747"/>
            <w:vAlign w:val="center"/>
          </w:tcPr>
          <w:p w:rsidR="00BA393C" w:rsidRPr="00FC03E5" w:rsidP="00F20EBA" w14:paraId="3479F938" w14:textId="77777777">
            <w:pPr>
              <w:spacing w:after="120" w:line="280" w:lineRule="atLeast"/>
              <w:rPr>
                <w:rFonts w:asciiTheme="majorHAnsi" w:hAnsiTheme="majorHAnsi" w:cstheme="majorHAnsi"/>
                <w:b/>
                <w:color w:val="FFFFFF" w:themeColor="background1"/>
                <w:sz w:val="22"/>
                <w:szCs w:val="18"/>
                <w:lang w:val="en-GB"/>
              </w:rPr>
            </w:pPr>
            <w:r w:rsidRPr="00FC03E5">
              <w:rPr>
                <w:rFonts w:asciiTheme="majorHAnsi" w:hAnsiTheme="majorHAnsi" w:cstheme="majorHAnsi"/>
                <w:b/>
                <w:color w:val="FFFFFF" w:themeColor="background1"/>
                <w:sz w:val="22"/>
                <w:szCs w:val="18"/>
                <w:lang w:val="en-GB"/>
              </w:rPr>
              <w:t>Hiring Process</w:t>
            </w:r>
          </w:p>
        </w:tc>
        <w:tc>
          <w:tcPr>
            <w:tcW w:w="789" w:type="pct"/>
            <w:gridSpan w:val="2"/>
            <w:tcBorders>
              <w:top w:val="nil"/>
              <w:left w:val="nil"/>
              <w:bottom w:val="single" w:sz="2" w:space="0" w:color="808080"/>
              <w:right w:val="nil"/>
            </w:tcBorders>
            <w:shd w:val="clear" w:color="auto" w:fill="474747"/>
          </w:tcPr>
          <w:p w:rsidR="00BA393C" w:rsidRPr="00FC03E5" w:rsidP="00F20EBA" w14:paraId="465A9A9B" w14:textId="77777777">
            <w:pPr>
              <w:spacing w:before="60" w:after="120" w:line="280" w:lineRule="atLeast"/>
              <w:jc w:val="center"/>
              <w:rPr>
                <w:rFonts w:asciiTheme="majorHAnsi" w:hAnsiTheme="majorHAnsi" w:cstheme="majorHAnsi"/>
                <w:b/>
                <w:color w:val="FFFFFF" w:themeColor="background1"/>
                <w:sz w:val="22"/>
                <w:szCs w:val="18"/>
                <w:lang w:val="en-GB"/>
              </w:rPr>
            </w:pPr>
            <w:r w:rsidRPr="00FC03E5">
              <w:rPr>
                <w:rFonts w:asciiTheme="majorHAnsi" w:hAnsiTheme="majorHAnsi" w:cstheme="majorHAnsi"/>
                <w:b/>
                <w:color w:val="FFFFFF" w:themeColor="background1"/>
                <w:sz w:val="22"/>
                <w:szCs w:val="18"/>
                <w:lang w:val="en-GB"/>
              </w:rPr>
              <w:t>Completed</w:t>
            </w:r>
          </w:p>
        </w:tc>
      </w:tr>
      <w:tr w14:paraId="56228313"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5A2E43A3" w14:textId="77777777">
            <w:pPr>
              <w:pStyle w:val="Lists"/>
            </w:pPr>
            <w:r w:rsidRPr="00FC03E5">
              <w:t>Determine what an ideal candidate looks like for that position, including:</w:t>
            </w:r>
          </w:p>
          <w:p w:rsidR="00BA393C" w:rsidRPr="00FC03E5" w:rsidP="00BA393C" w14:paraId="3BE5B103" w14:textId="77777777">
            <w:pPr>
              <w:pStyle w:val="Lists"/>
              <w:numPr>
                <w:ilvl w:val="0"/>
                <w:numId w:val="4"/>
              </w:numPr>
              <w:spacing w:before="120" w:after="120"/>
            </w:pPr>
            <w:r w:rsidRPr="00FC03E5">
              <w:t>Salary</w:t>
            </w:r>
          </w:p>
          <w:p w:rsidR="00BA393C" w:rsidRPr="00FC03E5" w:rsidP="00BA393C" w14:paraId="75C49009" w14:textId="77777777">
            <w:pPr>
              <w:pStyle w:val="Lists"/>
              <w:numPr>
                <w:ilvl w:val="0"/>
                <w:numId w:val="4"/>
              </w:numPr>
              <w:spacing w:before="120" w:after="120"/>
            </w:pPr>
            <w:r w:rsidRPr="00FC03E5">
              <w:t>Skills and experience</w:t>
            </w:r>
          </w:p>
          <w:p w:rsidR="00BA393C" w:rsidRPr="00FC03E5" w:rsidP="00BA393C" w14:paraId="10D6A235" w14:textId="77777777">
            <w:pPr>
              <w:pStyle w:val="Lists"/>
              <w:numPr>
                <w:ilvl w:val="0"/>
                <w:numId w:val="4"/>
              </w:numPr>
              <w:spacing w:before="120" w:after="120"/>
            </w:pPr>
            <w:r w:rsidRPr="00FC03E5">
              <w:t>Qualifications</w:t>
            </w:r>
          </w:p>
          <w:p w:rsidR="00BA393C" w:rsidRPr="00FC03E5" w:rsidP="00BA393C" w14:paraId="15198554" w14:textId="77777777">
            <w:pPr>
              <w:pStyle w:val="Lists"/>
              <w:numPr>
                <w:ilvl w:val="0"/>
                <w:numId w:val="4"/>
              </w:numPr>
              <w:spacing w:before="120" w:after="120"/>
            </w:pPr>
            <w:r w:rsidRPr="00FC03E5">
              <w:t>Personality traits</w:t>
            </w:r>
          </w:p>
        </w:tc>
        <w:sdt>
          <w:sdtPr>
            <w:rPr>
              <w:lang w:val="en-GB"/>
            </w:rPr>
            <w:id w:val="1477576268"/>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0F1C923A" w14:textId="77777777">
                <w:pPr>
                  <w:jc w:val="center"/>
                  <w:rPr>
                    <w:lang w:val="en-GB"/>
                  </w:rPr>
                </w:pPr>
                <w:r w:rsidRPr="00FC03E5">
                  <w:rPr>
                    <w:rFonts w:ascii="MS Gothic" w:eastAsia="MS Gothic" w:hAnsi="MS Gothic" w:cs="MS Gothic"/>
                    <w:lang w:val="en-GB"/>
                  </w:rPr>
                  <w:t>☐</w:t>
                </w:r>
              </w:p>
            </w:tc>
          </w:sdtContent>
        </w:sdt>
      </w:tr>
      <w:tr w14:paraId="20489BE5"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050B5F1A" w14:textId="77777777">
            <w:pPr>
              <w:pStyle w:val="Lists"/>
            </w:pPr>
            <w:r w:rsidRPr="00FC03E5">
              <w:t>Create an evaluation rubric of candidates’ soft skills, such as communication and listening.</w:t>
            </w:r>
          </w:p>
        </w:tc>
        <w:sdt>
          <w:sdtPr>
            <w:rPr>
              <w:lang w:val="en-GB"/>
            </w:rPr>
            <w:id w:val="-1130853493"/>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204C0AD7" w14:textId="77777777">
                <w:pPr>
                  <w:jc w:val="center"/>
                  <w:rPr>
                    <w:lang w:val="en-GB"/>
                  </w:rPr>
                </w:pPr>
                <w:r w:rsidRPr="00FC03E5">
                  <w:rPr>
                    <w:rFonts w:ascii="MS Gothic" w:eastAsia="MS Gothic" w:hAnsi="MS Gothic" w:cs="MS Gothic"/>
                    <w:lang w:val="en-GB"/>
                  </w:rPr>
                  <w:t>☐</w:t>
                </w:r>
              </w:p>
            </w:tc>
          </w:sdtContent>
        </w:sdt>
      </w:tr>
      <w:tr w14:paraId="64D6494C"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1C91661A" w14:textId="74F7C8C7">
            <w:pPr>
              <w:pStyle w:val="Lists"/>
            </w:pPr>
            <w:r w:rsidRPr="00FC03E5">
              <w:t xml:space="preserve">Establish </w:t>
            </w:r>
            <w:r w:rsidRPr="00FC03E5" w:rsidR="007F7C42">
              <w:t>practi</w:t>
            </w:r>
            <w:r w:rsidRPr="00FC03E5" w:rsidR="00E86E0A">
              <w:t>c</w:t>
            </w:r>
            <w:r w:rsidRPr="00FC03E5" w:rsidR="007F7C42">
              <w:t>e</w:t>
            </w:r>
            <w:r w:rsidRPr="00FC03E5">
              <w:t>s for determining job candidates’ trustworthiness, including:</w:t>
            </w:r>
          </w:p>
          <w:p w:rsidR="00BA393C" w:rsidRPr="00FC03E5" w:rsidP="00BA393C" w14:paraId="1106B8FB" w14:textId="3F675A44">
            <w:pPr>
              <w:pStyle w:val="Lists"/>
              <w:numPr>
                <w:ilvl w:val="0"/>
                <w:numId w:val="3"/>
              </w:numPr>
              <w:spacing w:before="120" w:after="120"/>
            </w:pPr>
            <w:r w:rsidRPr="00FC03E5">
              <w:t xml:space="preserve">Reference </w:t>
            </w:r>
            <w:r w:rsidRPr="00FC03E5" w:rsidR="00A66E71">
              <w:t>check</w:t>
            </w:r>
            <w:r w:rsidRPr="00FC03E5">
              <w:t>s</w:t>
            </w:r>
          </w:p>
          <w:p w:rsidR="00BA393C" w:rsidRPr="00FC03E5" w:rsidP="00BA393C" w14:paraId="49F33E3D" w14:textId="25B0796F">
            <w:pPr>
              <w:pStyle w:val="Lists"/>
              <w:numPr>
                <w:ilvl w:val="0"/>
                <w:numId w:val="3"/>
              </w:numPr>
              <w:spacing w:before="120" w:after="120"/>
            </w:pPr>
            <w:r w:rsidRPr="00FC03E5">
              <w:t>Behaviour</w:t>
            </w:r>
            <w:r w:rsidRPr="00FC03E5">
              <w:t>al-based interviewing</w:t>
            </w:r>
          </w:p>
          <w:p w:rsidR="00BA393C" w:rsidRPr="00FC03E5" w:rsidP="00BA393C" w14:paraId="13A787D3" w14:textId="77777777">
            <w:pPr>
              <w:pStyle w:val="Lists"/>
              <w:numPr>
                <w:ilvl w:val="0"/>
                <w:numId w:val="3"/>
              </w:numPr>
              <w:spacing w:before="120" w:after="120"/>
            </w:pPr>
            <w:r w:rsidRPr="00FC03E5">
              <w:t>Skills assessments</w:t>
            </w:r>
          </w:p>
        </w:tc>
        <w:sdt>
          <w:sdtPr>
            <w:rPr>
              <w:lang w:val="en-GB"/>
            </w:rPr>
            <w:id w:val="-1668472590"/>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1D125F14" w14:textId="77777777">
                <w:pPr>
                  <w:jc w:val="center"/>
                  <w:rPr>
                    <w:lang w:val="en-GB"/>
                  </w:rPr>
                </w:pPr>
                <w:r w:rsidRPr="00FC03E5">
                  <w:rPr>
                    <w:rFonts w:ascii="MS Gothic" w:eastAsia="MS Gothic" w:hAnsi="MS Gothic" w:cs="MS Gothic"/>
                    <w:lang w:val="en-GB"/>
                  </w:rPr>
                  <w:t>☐</w:t>
                </w:r>
              </w:p>
            </w:tc>
          </w:sdtContent>
        </w:sdt>
      </w:tr>
      <w:tr w14:paraId="38C07D3C"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0BC6C9F2" w14:textId="77777777">
            <w:pPr>
              <w:pStyle w:val="Lists"/>
            </w:pPr>
            <w:r w:rsidRPr="00FC03E5">
              <w:t>Review job postings and descriptions to ensure accuracy.</w:t>
            </w:r>
          </w:p>
        </w:tc>
        <w:sdt>
          <w:sdtPr>
            <w:rPr>
              <w:lang w:val="en-GB"/>
            </w:rPr>
            <w:id w:val="-1199156674"/>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643DFA84" w14:textId="77777777">
                <w:pPr>
                  <w:jc w:val="center"/>
                  <w:rPr>
                    <w:lang w:val="en-GB"/>
                  </w:rPr>
                </w:pPr>
                <w:r w:rsidRPr="00FC03E5">
                  <w:rPr>
                    <w:rFonts w:ascii="MS Gothic" w:eastAsia="MS Gothic" w:hAnsi="MS Gothic" w:hint="eastAsia"/>
                    <w:lang w:val="en-GB"/>
                  </w:rPr>
                  <w:t>☐</w:t>
                </w:r>
              </w:p>
            </w:tc>
          </w:sdtContent>
        </w:sdt>
      </w:tr>
      <w:tr w14:paraId="6046901D"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4B91341F" w14:textId="77777777">
            <w:pPr>
              <w:pStyle w:val="Lists"/>
            </w:pPr>
            <w:r w:rsidRPr="00FC03E5">
              <w:t>Consider listing pay ranges with job postings to increase efficiency and build trust.</w:t>
            </w:r>
          </w:p>
        </w:tc>
        <w:sdt>
          <w:sdtPr>
            <w:rPr>
              <w:lang w:val="en-GB"/>
            </w:rPr>
            <w:id w:val="996620156"/>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1C89747D" w14:textId="77777777">
                <w:pPr>
                  <w:jc w:val="center"/>
                  <w:rPr>
                    <w:lang w:val="en-GB"/>
                  </w:rPr>
                </w:pPr>
                <w:r w:rsidRPr="00FC03E5">
                  <w:rPr>
                    <w:rFonts w:ascii="MS Gothic" w:eastAsia="MS Gothic" w:hAnsi="MS Gothic" w:cs="MS Gothic"/>
                    <w:lang w:val="en-GB"/>
                  </w:rPr>
                  <w:t>☐</w:t>
                </w:r>
              </w:p>
            </w:tc>
          </w:sdtContent>
        </w:sdt>
      </w:tr>
      <w:tr w14:paraId="1560DA89"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0E1384ED" w14:textId="77777777">
            <w:pPr>
              <w:pStyle w:val="Lists"/>
            </w:pPr>
            <w:r w:rsidRPr="00FC03E5">
              <w:t>Include essential tasks and responsibilities in job descriptions, not just requisite skills.</w:t>
            </w:r>
          </w:p>
        </w:tc>
        <w:sdt>
          <w:sdtPr>
            <w:rPr>
              <w:lang w:val="en-GB"/>
            </w:rPr>
            <w:id w:val="-19477395"/>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1DDF2A27" w14:textId="77777777">
                <w:pPr>
                  <w:jc w:val="center"/>
                  <w:rPr>
                    <w:lang w:val="en-GB"/>
                  </w:rPr>
                </w:pPr>
                <w:r w:rsidRPr="00FC03E5">
                  <w:rPr>
                    <w:rFonts w:ascii="MS Gothic" w:eastAsia="MS Gothic" w:hAnsi="MS Gothic" w:cs="MS Gothic"/>
                    <w:lang w:val="en-GB"/>
                  </w:rPr>
                  <w:t>☐</w:t>
                </w:r>
              </w:p>
            </w:tc>
          </w:sdtContent>
        </w:sdt>
      </w:tr>
      <w:tr w14:paraId="53FF0AB3"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3FAC6E5F" w14:textId="7428EB73">
            <w:pPr>
              <w:pStyle w:val="Lists"/>
            </w:pPr>
            <w:r w:rsidRPr="00FC03E5">
              <w:t>Post the job opening internally and externally. Hiring internally (</w:t>
            </w:r>
            <w:r w:rsidRPr="00FC03E5">
              <w:t>e</w:t>
            </w:r>
            <w:r w:rsidRPr="00FC03E5" w:rsidR="002E7699">
              <w:t>g</w:t>
            </w:r>
            <w:r w:rsidRPr="00FC03E5">
              <w:t xml:space="preserve"> referrals or internal applications) can increase the chances of finding a good fit.</w:t>
            </w:r>
          </w:p>
        </w:tc>
        <w:sdt>
          <w:sdtPr>
            <w:rPr>
              <w:lang w:val="en-GB"/>
            </w:rPr>
            <w:id w:val="-1027329914"/>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5512F99E" w14:textId="77777777">
                <w:pPr>
                  <w:jc w:val="center"/>
                  <w:rPr>
                    <w:lang w:val="en-GB"/>
                  </w:rPr>
                </w:pPr>
                <w:r w:rsidRPr="00FC03E5">
                  <w:rPr>
                    <w:rFonts w:ascii="MS Gothic" w:eastAsia="MS Gothic" w:hAnsi="MS Gothic" w:cs="MS Gothic"/>
                    <w:lang w:val="en-GB"/>
                  </w:rPr>
                  <w:t>☐</w:t>
                </w:r>
              </w:p>
            </w:tc>
          </w:sdtContent>
        </w:sdt>
      </w:tr>
      <w:tr w14:paraId="059F782A" w14:textId="77777777" w:rsidTr="000B749B">
        <w:tblPrEx>
          <w:tblW w:w="5093" w:type="pct"/>
          <w:tblLook w:val="01E0"/>
        </w:tblPrEx>
        <w:trPr>
          <w:trHeight w:val="399"/>
        </w:trPr>
        <w:tc>
          <w:tcPr>
            <w:tcW w:w="4298" w:type="pct"/>
            <w:gridSpan w:val="2"/>
            <w:tcBorders>
              <w:right w:val="single" w:sz="2" w:space="0" w:color="808080"/>
            </w:tcBorders>
          </w:tcPr>
          <w:p w:rsidR="00BA393C" w:rsidRPr="00FC03E5" w:rsidP="00F20EBA" w14:paraId="7A4A48DE" w14:textId="77777777">
            <w:pPr>
              <w:pStyle w:val="Lists"/>
            </w:pPr>
            <w:r w:rsidRPr="00FC03E5">
              <w:t>Ensure all candidates complete the following:</w:t>
            </w:r>
          </w:p>
          <w:p w:rsidR="00BA393C" w:rsidRPr="00FC03E5" w:rsidP="00BA393C" w14:paraId="0EDA76AB" w14:textId="77777777">
            <w:pPr>
              <w:pStyle w:val="Lists"/>
              <w:numPr>
                <w:ilvl w:val="0"/>
                <w:numId w:val="5"/>
              </w:numPr>
              <w:spacing w:before="120" w:after="120"/>
            </w:pPr>
            <w:r w:rsidRPr="00FC03E5">
              <w:t>Application forms</w:t>
            </w:r>
          </w:p>
          <w:p w:rsidR="00BA393C" w:rsidRPr="00FC03E5" w:rsidP="00BA393C" w14:paraId="6E074813" w14:textId="54E51DEA">
            <w:pPr>
              <w:pStyle w:val="Lists"/>
              <w:numPr>
                <w:ilvl w:val="0"/>
                <w:numId w:val="5"/>
              </w:numPr>
              <w:spacing w:before="120" w:after="120"/>
            </w:pPr>
            <w:r w:rsidRPr="00FC03E5">
              <w:t>Back</w:t>
            </w:r>
            <w:r w:rsidRPr="00FC03E5" w:rsidR="00813031">
              <w:t>ground</w:t>
            </w:r>
            <w:r w:rsidRPr="00FC03E5" w:rsidR="004B70E9">
              <w:t>-</w:t>
            </w:r>
            <w:r w:rsidRPr="00FC03E5" w:rsidR="00A66E71">
              <w:t>check</w:t>
            </w:r>
            <w:r w:rsidRPr="00FC03E5">
              <w:t xml:space="preserve"> forms, which must conform to </w:t>
            </w:r>
            <w:r w:rsidRPr="00FC03E5" w:rsidR="000A29D4">
              <w:t xml:space="preserve">any </w:t>
            </w:r>
            <w:r w:rsidRPr="00FC03E5" w:rsidR="00A426F7">
              <w:t xml:space="preserve">national </w:t>
            </w:r>
            <w:r w:rsidRPr="00FC03E5" w:rsidR="00291A27">
              <w:t xml:space="preserve">laws and include a </w:t>
            </w:r>
            <w:r w:rsidRPr="00FC03E5" w:rsidR="00F932EA">
              <w:t>right</w:t>
            </w:r>
            <w:r w:rsidRPr="00FC03E5" w:rsidR="004B70E9">
              <w:t>-to-</w:t>
            </w:r>
            <w:r w:rsidRPr="00FC03E5" w:rsidR="00F932EA">
              <w:t xml:space="preserve">work </w:t>
            </w:r>
            <w:r w:rsidRPr="00FC03E5" w:rsidR="00F932EA">
              <w:t>check</w:t>
            </w:r>
          </w:p>
          <w:p w:rsidR="00BA393C" w:rsidRPr="00FC03E5" w:rsidP="00BA393C" w14:paraId="2864E575" w14:textId="79246E8A">
            <w:pPr>
              <w:pStyle w:val="Lists"/>
              <w:numPr>
                <w:ilvl w:val="0"/>
                <w:numId w:val="5"/>
              </w:numPr>
              <w:spacing w:before="120" w:after="120"/>
            </w:pPr>
            <w:r w:rsidRPr="00FC03E5">
              <w:t xml:space="preserve">Voluntary </w:t>
            </w:r>
            <w:r w:rsidRPr="00FC03E5" w:rsidR="007A3EAF">
              <w:t>e</w:t>
            </w:r>
            <w:r w:rsidRPr="00FC03E5">
              <w:t xml:space="preserve">qual </w:t>
            </w:r>
            <w:r w:rsidRPr="00FC03E5" w:rsidR="007A3EAF">
              <w:t>opportunities</w:t>
            </w:r>
            <w:r w:rsidRPr="00FC03E5">
              <w:t xml:space="preserve"> form</w:t>
            </w:r>
          </w:p>
        </w:tc>
        <w:sdt>
          <w:sdtPr>
            <w:rPr>
              <w:lang w:val="en-GB"/>
            </w:rPr>
            <w:id w:val="-1176031454"/>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41C38A5A" w14:textId="77777777">
                <w:pPr>
                  <w:jc w:val="center"/>
                  <w:rPr>
                    <w:lang w:val="en-GB"/>
                  </w:rPr>
                </w:pPr>
                <w:r w:rsidRPr="00FC03E5">
                  <w:rPr>
                    <w:rFonts w:ascii="MS Gothic" w:eastAsia="MS Gothic" w:hAnsi="MS Gothic" w:cs="MS Gothic"/>
                    <w:lang w:val="en-GB"/>
                  </w:rPr>
                  <w:t>☐</w:t>
                </w:r>
              </w:p>
            </w:tc>
          </w:sdtContent>
        </w:sdt>
      </w:tr>
      <w:tr w14:paraId="3CE30D43"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51D19216" w14:textId="6AC49475">
            <w:pPr>
              <w:pStyle w:val="Lists"/>
            </w:pPr>
            <w:r w:rsidRPr="00FC03E5">
              <w:t xml:space="preserve">Look beyond the qualifications on a candidate’s </w:t>
            </w:r>
            <w:r w:rsidRPr="00FC03E5" w:rsidR="00B70281">
              <w:t>curriculum vitae</w:t>
            </w:r>
            <w:r w:rsidRPr="00FC03E5">
              <w:t xml:space="preserve"> to evaluate how well an individual aligns with organ</w:t>
            </w:r>
            <w:r w:rsidRPr="00FC03E5" w:rsidR="007F7C42">
              <w:t>isation</w:t>
            </w:r>
            <w:r w:rsidRPr="00FC03E5">
              <w:t>al goals.</w:t>
            </w:r>
          </w:p>
        </w:tc>
        <w:sdt>
          <w:sdtPr>
            <w:rPr>
              <w:lang w:val="en-GB"/>
            </w:rPr>
            <w:id w:val="-427117012"/>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6FDE43FC" w14:textId="77777777">
                <w:pPr>
                  <w:jc w:val="center"/>
                  <w:rPr>
                    <w:lang w:val="en-GB"/>
                  </w:rPr>
                </w:pPr>
                <w:r w:rsidRPr="00FC03E5">
                  <w:rPr>
                    <w:rFonts w:ascii="MS Gothic" w:eastAsia="MS Gothic" w:hAnsi="MS Gothic" w:cs="MS Gothic"/>
                    <w:lang w:val="en-GB"/>
                  </w:rPr>
                  <w:t>☐</w:t>
                </w:r>
              </w:p>
            </w:tc>
          </w:sdtContent>
        </w:sdt>
      </w:tr>
      <w:tr w14:paraId="1C60C6E5"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6D80A0C6" w14:textId="7CDF8A47">
            <w:pPr>
              <w:pStyle w:val="Lists"/>
            </w:pPr>
            <w:r w:rsidRPr="00FC03E5">
              <w:t>C</w:t>
            </w:r>
            <w:r w:rsidRPr="00FC03E5" w:rsidR="00910E22">
              <w:t>onduct</w:t>
            </w:r>
            <w:r w:rsidRPr="00FC03E5">
              <w:t xml:space="preserve"> </w:t>
            </w:r>
            <w:r w:rsidRPr="00FC03E5" w:rsidR="006A0AEC">
              <w:t>initial</w:t>
            </w:r>
            <w:r w:rsidRPr="00FC03E5" w:rsidR="00910E22">
              <w:t xml:space="preserve"> telephone interviews with</w:t>
            </w:r>
            <w:r w:rsidRPr="00FC03E5">
              <w:t xml:space="preserve"> individuals who appear to be a good fit.</w:t>
            </w:r>
          </w:p>
        </w:tc>
        <w:sdt>
          <w:sdtPr>
            <w:rPr>
              <w:lang w:val="en-GB"/>
            </w:rPr>
            <w:id w:val="200520588"/>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7AA4B92C" w14:textId="77777777">
                <w:pPr>
                  <w:jc w:val="center"/>
                  <w:rPr>
                    <w:lang w:val="en-GB"/>
                  </w:rPr>
                </w:pPr>
                <w:r w:rsidRPr="00FC03E5">
                  <w:rPr>
                    <w:rFonts w:ascii="MS Gothic" w:eastAsia="MS Gothic" w:hAnsi="MS Gothic" w:cs="MS Gothic"/>
                    <w:lang w:val="en-GB"/>
                  </w:rPr>
                  <w:t>☐</w:t>
                </w:r>
              </w:p>
            </w:tc>
          </w:sdtContent>
        </w:sdt>
      </w:tr>
      <w:tr w14:paraId="3C2AD666"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47BB070C" w14:textId="77777777">
            <w:pPr>
              <w:pStyle w:val="Lists"/>
            </w:pPr>
            <w:r w:rsidRPr="00FC03E5">
              <w:t>Observe how a job candidate interacts with others in the office to understand how they will contribute to company culture. For example, determine whether they are friendly and easy to converse with.</w:t>
            </w:r>
          </w:p>
        </w:tc>
        <w:sdt>
          <w:sdtPr>
            <w:rPr>
              <w:lang w:val="en-GB"/>
            </w:rPr>
            <w:id w:val="-1098090364"/>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6D0A389D" w14:textId="77777777">
                <w:pPr>
                  <w:jc w:val="center"/>
                  <w:rPr>
                    <w:lang w:val="en-GB"/>
                  </w:rPr>
                </w:pPr>
                <w:r w:rsidRPr="00FC03E5">
                  <w:rPr>
                    <w:rFonts w:ascii="MS Gothic" w:eastAsia="MS Gothic" w:hAnsi="MS Gothic" w:cs="MS Gothic"/>
                    <w:lang w:val="en-GB"/>
                  </w:rPr>
                  <w:t>☐</w:t>
                </w:r>
              </w:p>
            </w:tc>
          </w:sdtContent>
        </w:sdt>
      </w:tr>
      <w:tr w14:paraId="45CBB1C1" w14:textId="77777777" w:rsidTr="000B749B">
        <w:tblPrEx>
          <w:tblW w:w="5093" w:type="pct"/>
          <w:tblLook w:val="01E0"/>
        </w:tblPrEx>
        <w:trPr>
          <w:trHeight w:val="399"/>
        </w:trPr>
        <w:tc>
          <w:tcPr>
            <w:tcW w:w="4298" w:type="pct"/>
            <w:gridSpan w:val="2"/>
            <w:tcBorders>
              <w:right w:val="single" w:sz="2" w:space="0" w:color="808080"/>
            </w:tcBorders>
          </w:tcPr>
          <w:p w:rsidR="00BA393C" w:rsidRPr="00FC03E5" w:rsidP="00F20EBA" w14:paraId="526FC82B" w14:textId="6104ABFD">
            <w:pPr>
              <w:pStyle w:val="Lists"/>
            </w:pPr>
            <w:r w:rsidRPr="00FC03E5">
              <w:t>Honestly describe job expectations and organ</w:t>
            </w:r>
            <w:r w:rsidRPr="00FC03E5" w:rsidR="007F7C42">
              <w:t>isation</w:t>
            </w:r>
            <w:r w:rsidRPr="00FC03E5">
              <w:t>al goals during interviews.</w:t>
            </w:r>
          </w:p>
        </w:tc>
        <w:sdt>
          <w:sdtPr>
            <w:rPr>
              <w:lang w:val="en-GB"/>
            </w:rPr>
            <w:id w:val="1987200842"/>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255EED8B" w14:textId="77777777">
                <w:pPr>
                  <w:jc w:val="center"/>
                  <w:rPr>
                    <w:lang w:val="en-GB"/>
                  </w:rPr>
                </w:pPr>
                <w:r w:rsidRPr="00FC03E5">
                  <w:rPr>
                    <w:rFonts w:ascii="MS Gothic" w:eastAsia="MS Gothic" w:hAnsi="MS Gothic" w:cs="MS Gothic"/>
                    <w:lang w:val="en-GB"/>
                  </w:rPr>
                  <w:t>☐</w:t>
                </w:r>
              </w:p>
            </w:tc>
          </w:sdtContent>
        </w:sdt>
      </w:tr>
      <w:tr w14:paraId="04EB15E3"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326F2529" w14:textId="77777777">
            <w:pPr>
              <w:pStyle w:val="Lists"/>
            </w:pPr>
            <w:r w:rsidRPr="00FC03E5">
              <w:t>Communicate regularly and clearly with job candidates throughout the interview and hiring processes to build trust and make individuals feel valued.</w:t>
            </w:r>
          </w:p>
        </w:tc>
        <w:sdt>
          <w:sdtPr>
            <w:rPr>
              <w:lang w:val="en-GB"/>
            </w:rPr>
            <w:id w:val="1404025141"/>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6CF16CE2" w14:textId="77777777">
                <w:pPr>
                  <w:jc w:val="center"/>
                  <w:rPr>
                    <w:lang w:val="en-GB"/>
                  </w:rPr>
                </w:pPr>
                <w:r w:rsidRPr="00FC03E5">
                  <w:rPr>
                    <w:rFonts w:ascii="MS Gothic" w:eastAsia="MS Gothic" w:hAnsi="MS Gothic" w:cs="MS Gothic"/>
                    <w:lang w:val="en-GB"/>
                  </w:rPr>
                  <w:t>☐</w:t>
                </w:r>
              </w:p>
            </w:tc>
          </w:sdtContent>
        </w:sdt>
      </w:tr>
      <w:tr w14:paraId="2F053329" w14:textId="77777777" w:rsidTr="000B749B">
        <w:tblPrEx>
          <w:tblW w:w="5093" w:type="pct"/>
          <w:tblLook w:val="01E0"/>
        </w:tblPrEx>
        <w:trPr>
          <w:trHeight w:val="399"/>
        </w:trPr>
        <w:tc>
          <w:tcPr>
            <w:tcW w:w="4298" w:type="pct"/>
            <w:gridSpan w:val="2"/>
            <w:tcBorders>
              <w:right w:val="single" w:sz="2" w:space="0" w:color="808080"/>
            </w:tcBorders>
            <w:vAlign w:val="center"/>
          </w:tcPr>
          <w:p w:rsidR="00BA393C" w:rsidRPr="00FC03E5" w:rsidP="00F20EBA" w14:paraId="49B35BA3" w14:textId="77777777">
            <w:pPr>
              <w:pStyle w:val="Lists"/>
            </w:pPr>
            <w:r w:rsidRPr="00FC03E5">
              <w:t>Set up an onboarding schedule for the new hire. An effective onboarding process can help establish rapport with employees and increase retention rates.</w:t>
            </w:r>
          </w:p>
        </w:tc>
        <w:sdt>
          <w:sdtPr>
            <w:rPr>
              <w:lang w:val="en-GB"/>
            </w:rPr>
            <w:id w:val="1587881098"/>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00CF6292" w14:textId="77777777">
                <w:pPr>
                  <w:jc w:val="center"/>
                  <w:rPr>
                    <w:lang w:val="en-GB"/>
                  </w:rPr>
                </w:pPr>
                <w:r w:rsidRPr="00FC03E5">
                  <w:rPr>
                    <w:rFonts w:ascii="MS Gothic" w:eastAsia="MS Gothic" w:hAnsi="MS Gothic" w:cs="MS Gothic"/>
                    <w:lang w:val="en-GB"/>
                  </w:rPr>
                  <w:t>☐</w:t>
                </w:r>
              </w:p>
            </w:tc>
          </w:sdtContent>
        </w:sdt>
      </w:tr>
    </w:tbl>
    <w:p w:rsidR="00BA393C" w:rsidRPr="00FC03E5" w:rsidP="00BA393C" w14:paraId="45F75B5D" w14:textId="77777777">
      <w:pPr>
        <w:pStyle w:val="Lists"/>
        <w:rPr>
          <w:sz w:val="22"/>
        </w:rPr>
      </w:pPr>
    </w:p>
    <w:p w:rsidR="00BA393C" w:rsidRPr="00FC03E5" w:rsidP="00BA393C" w14:paraId="3D78DF5E" w14:textId="24B84CA5">
      <w:pPr>
        <w:pStyle w:val="Lists"/>
        <w:rPr>
          <w:sz w:val="22"/>
        </w:rPr>
      </w:pPr>
      <w:r w:rsidRPr="00FC03E5">
        <w:rPr>
          <w:sz w:val="22"/>
        </w:rPr>
        <w:t>Many employees value workplace diversity. Employers can widen their talent pools by emphas</w:t>
      </w:r>
      <w:r w:rsidRPr="00FC03E5" w:rsidR="007F7C42">
        <w:rPr>
          <w:sz w:val="22"/>
        </w:rPr>
        <w:t>ising</w:t>
      </w:r>
      <w:r w:rsidRPr="00FC03E5">
        <w:rPr>
          <w:sz w:val="22"/>
        </w:rPr>
        <w:t xml:space="preserve"> diversity, increasing the chance of hiring the right person for their open roles. Review the following </w:t>
      </w:r>
      <w:r w:rsidRPr="00FC03E5" w:rsidR="00A66E71">
        <w:rPr>
          <w:sz w:val="22"/>
        </w:rPr>
        <w:t>check</w:t>
      </w:r>
      <w:r w:rsidRPr="00FC03E5">
        <w:rPr>
          <w:sz w:val="22"/>
        </w:rPr>
        <w:t xml:space="preserve">list to ensure that diversity, </w:t>
      </w:r>
      <w:r w:rsidRPr="00FC03E5">
        <w:rPr>
          <w:sz w:val="22"/>
        </w:rPr>
        <w:t>equity</w:t>
      </w:r>
      <w:r w:rsidRPr="00FC03E5">
        <w:rPr>
          <w:sz w:val="22"/>
        </w:rPr>
        <w:t xml:space="preserve"> and inclusion (DE&amp;I) initiatives are strengthening recruitment efforts and improving hiring outcomes:</w:t>
      </w:r>
    </w:p>
    <w:tbl>
      <w:tblPr>
        <w:tblpPr w:leftFromText="180" w:rightFromText="180" w:vertAnchor="text" w:horzAnchor="margin" w:tblpY="238"/>
        <w:tblW w:w="5034"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811"/>
        <w:gridCol w:w="1276"/>
      </w:tblGrid>
      <w:tr w14:paraId="277AA8FA" w14:textId="77777777" w:rsidTr="000D5E5C">
        <w:tblPrEx>
          <w:tblW w:w="5034"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20"/>
        </w:trPr>
        <w:tc>
          <w:tcPr>
            <w:tcW w:w="4298" w:type="pct"/>
            <w:tcBorders>
              <w:top w:val="nil"/>
              <w:left w:val="nil"/>
              <w:right w:val="nil"/>
            </w:tcBorders>
            <w:shd w:val="clear" w:color="auto" w:fill="474747"/>
            <w:vAlign w:val="center"/>
          </w:tcPr>
          <w:p w:rsidR="00BA393C" w:rsidRPr="00FC03E5" w:rsidP="00F20EBA" w14:paraId="611DF828" w14:textId="77777777">
            <w:pPr>
              <w:spacing w:after="120" w:line="280" w:lineRule="atLeast"/>
              <w:rPr>
                <w:rFonts w:asciiTheme="majorHAnsi" w:hAnsiTheme="majorHAnsi" w:cstheme="majorHAnsi"/>
                <w:b/>
                <w:color w:val="FFFFFF" w:themeColor="background1"/>
                <w:sz w:val="22"/>
                <w:szCs w:val="18"/>
                <w:lang w:val="en-GB"/>
              </w:rPr>
            </w:pPr>
            <w:r w:rsidRPr="00FC03E5">
              <w:rPr>
                <w:rFonts w:asciiTheme="majorHAnsi" w:hAnsiTheme="majorHAnsi" w:cstheme="majorHAnsi"/>
                <w:b/>
                <w:color w:val="FFFFFF" w:themeColor="background1"/>
                <w:sz w:val="22"/>
                <w:szCs w:val="18"/>
                <w:lang w:val="en-GB"/>
              </w:rPr>
              <w:t xml:space="preserve">Diversity, </w:t>
            </w:r>
            <w:r w:rsidRPr="00FC03E5">
              <w:rPr>
                <w:rFonts w:asciiTheme="majorHAnsi" w:hAnsiTheme="majorHAnsi" w:cstheme="majorHAnsi"/>
                <w:b/>
                <w:color w:val="FFFFFF" w:themeColor="background1"/>
                <w:sz w:val="22"/>
                <w:szCs w:val="18"/>
                <w:lang w:val="en-GB"/>
              </w:rPr>
              <w:t>Equity</w:t>
            </w:r>
            <w:r w:rsidRPr="00FC03E5">
              <w:rPr>
                <w:rFonts w:asciiTheme="majorHAnsi" w:hAnsiTheme="majorHAnsi" w:cstheme="majorHAnsi"/>
                <w:b/>
                <w:color w:val="FFFFFF" w:themeColor="background1"/>
                <w:sz w:val="22"/>
                <w:szCs w:val="18"/>
                <w:lang w:val="en-GB"/>
              </w:rPr>
              <w:t xml:space="preserve"> and Inclusion (DE&amp;I) Initiatives</w:t>
            </w:r>
          </w:p>
        </w:tc>
        <w:tc>
          <w:tcPr>
            <w:tcW w:w="702" w:type="pct"/>
            <w:tcBorders>
              <w:top w:val="nil"/>
              <w:left w:val="nil"/>
              <w:bottom w:val="single" w:sz="2" w:space="0" w:color="808080"/>
              <w:right w:val="nil"/>
            </w:tcBorders>
            <w:shd w:val="clear" w:color="auto" w:fill="474747"/>
          </w:tcPr>
          <w:p w:rsidR="00BA393C" w:rsidRPr="00FC03E5" w:rsidP="00F20EBA" w14:paraId="55C5FCA8" w14:textId="77777777">
            <w:pPr>
              <w:spacing w:before="60" w:after="120" w:line="280" w:lineRule="atLeast"/>
              <w:jc w:val="center"/>
              <w:rPr>
                <w:rFonts w:asciiTheme="majorHAnsi" w:hAnsiTheme="majorHAnsi" w:cstheme="majorHAnsi"/>
                <w:b/>
                <w:color w:val="FFFFFF" w:themeColor="background1"/>
                <w:sz w:val="22"/>
                <w:szCs w:val="18"/>
                <w:lang w:val="en-GB"/>
              </w:rPr>
            </w:pPr>
            <w:r w:rsidRPr="00FC03E5">
              <w:rPr>
                <w:rFonts w:asciiTheme="majorHAnsi" w:hAnsiTheme="majorHAnsi" w:cstheme="majorHAnsi"/>
                <w:b/>
                <w:color w:val="FFFFFF" w:themeColor="background1"/>
                <w:sz w:val="22"/>
                <w:szCs w:val="18"/>
                <w:lang w:val="en-GB"/>
              </w:rPr>
              <w:t>Completed</w:t>
            </w:r>
          </w:p>
        </w:tc>
      </w:tr>
      <w:tr w14:paraId="2D0DBDC6" w14:textId="77777777" w:rsidTr="000D5E5C">
        <w:tblPrEx>
          <w:tblW w:w="5034" w:type="pct"/>
          <w:tblLook w:val="01E0"/>
        </w:tblPrEx>
        <w:trPr>
          <w:trHeight w:val="420"/>
        </w:trPr>
        <w:tc>
          <w:tcPr>
            <w:tcW w:w="4298" w:type="pct"/>
            <w:tcBorders>
              <w:right w:val="single" w:sz="2" w:space="0" w:color="808080"/>
            </w:tcBorders>
            <w:vAlign w:val="center"/>
          </w:tcPr>
          <w:p w:rsidR="00BA393C" w:rsidRPr="00FC03E5" w:rsidP="00F20EBA" w14:paraId="27B14089" w14:textId="77777777">
            <w:pPr>
              <w:pStyle w:val="Lists"/>
            </w:pPr>
            <w:r w:rsidRPr="00FC03E5">
              <w:t>Review workplace policies to ensure they incorporate and encourage diversity.</w:t>
            </w:r>
          </w:p>
        </w:tc>
        <w:sdt>
          <w:sdtPr>
            <w:rPr>
              <w:lang w:val="en-GB"/>
            </w:rPr>
            <w:id w:val="2086342843"/>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560586B5" w14:textId="77777777">
                <w:pPr>
                  <w:jc w:val="center"/>
                  <w:rPr>
                    <w:lang w:val="en-GB"/>
                  </w:rPr>
                </w:pPr>
                <w:r w:rsidRPr="00FC03E5">
                  <w:rPr>
                    <w:rFonts w:ascii="MS Gothic" w:eastAsia="MS Gothic" w:hAnsi="MS Gothic" w:hint="eastAsia"/>
                    <w:lang w:val="en-GB"/>
                  </w:rPr>
                  <w:t>☐</w:t>
                </w:r>
              </w:p>
            </w:tc>
          </w:sdtContent>
        </w:sdt>
      </w:tr>
      <w:tr w14:paraId="74E4FD96" w14:textId="77777777" w:rsidTr="000D5E5C">
        <w:tblPrEx>
          <w:tblW w:w="5034" w:type="pct"/>
          <w:tblLook w:val="01E0"/>
        </w:tblPrEx>
        <w:trPr>
          <w:trHeight w:val="420"/>
        </w:trPr>
        <w:tc>
          <w:tcPr>
            <w:tcW w:w="4298" w:type="pct"/>
            <w:tcBorders>
              <w:right w:val="single" w:sz="2" w:space="0" w:color="808080"/>
            </w:tcBorders>
            <w:vAlign w:val="center"/>
          </w:tcPr>
          <w:p w:rsidR="00BA393C" w:rsidRPr="00FC03E5" w:rsidP="00F20EBA" w14:paraId="03361D9D" w14:textId="77777777">
            <w:pPr>
              <w:pStyle w:val="Lists"/>
            </w:pPr>
            <w:r w:rsidRPr="00FC03E5">
              <w:t>Facilitate and support diverse employee resource groups.</w:t>
            </w:r>
          </w:p>
        </w:tc>
        <w:sdt>
          <w:sdtPr>
            <w:rPr>
              <w:lang w:val="en-GB"/>
            </w:rPr>
            <w:id w:val="160131865"/>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4E1ACADA" w14:textId="77777777">
                <w:pPr>
                  <w:jc w:val="center"/>
                  <w:rPr>
                    <w:lang w:val="en-GB"/>
                  </w:rPr>
                </w:pPr>
                <w:r w:rsidRPr="00FC03E5">
                  <w:rPr>
                    <w:rFonts w:ascii="MS Gothic" w:eastAsia="MS Gothic" w:hAnsi="MS Gothic" w:hint="eastAsia"/>
                    <w:lang w:val="en-GB"/>
                  </w:rPr>
                  <w:t>☐</w:t>
                </w:r>
              </w:p>
            </w:tc>
          </w:sdtContent>
        </w:sdt>
      </w:tr>
      <w:tr w14:paraId="6AC0CFFB" w14:textId="77777777" w:rsidTr="000D5E5C">
        <w:tblPrEx>
          <w:tblW w:w="5034" w:type="pct"/>
          <w:tblLook w:val="01E0"/>
        </w:tblPrEx>
        <w:trPr>
          <w:trHeight w:val="420"/>
        </w:trPr>
        <w:tc>
          <w:tcPr>
            <w:tcW w:w="4298" w:type="pct"/>
            <w:tcBorders>
              <w:right w:val="single" w:sz="2" w:space="0" w:color="808080"/>
            </w:tcBorders>
            <w:vAlign w:val="center"/>
          </w:tcPr>
          <w:p w:rsidR="00BA393C" w:rsidRPr="00FC03E5" w:rsidP="00F20EBA" w14:paraId="0FE16605" w14:textId="77777777">
            <w:pPr>
              <w:pStyle w:val="Lists"/>
            </w:pPr>
            <w:r w:rsidRPr="00FC03E5">
              <w:t>Create a formal, written inclusion policy.</w:t>
            </w:r>
          </w:p>
        </w:tc>
        <w:sdt>
          <w:sdtPr>
            <w:rPr>
              <w:lang w:val="en-GB"/>
            </w:rPr>
            <w:id w:val="174236189"/>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5513917A" w14:textId="77777777">
                <w:pPr>
                  <w:jc w:val="center"/>
                  <w:rPr>
                    <w:lang w:val="en-GB"/>
                  </w:rPr>
                </w:pPr>
                <w:r w:rsidRPr="00FC03E5">
                  <w:rPr>
                    <w:rFonts w:ascii="MS Gothic" w:eastAsia="MS Gothic" w:hAnsi="MS Gothic" w:cs="MS Gothic"/>
                    <w:lang w:val="en-GB"/>
                  </w:rPr>
                  <w:t>☐</w:t>
                </w:r>
              </w:p>
            </w:tc>
          </w:sdtContent>
        </w:sdt>
      </w:tr>
      <w:tr w14:paraId="7FE0470C" w14:textId="77777777" w:rsidTr="000D5E5C">
        <w:tblPrEx>
          <w:tblW w:w="5034" w:type="pct"/>
          <w:tblLook w:val="01E0"/>
        </w:tblPrEx>
        <w:trPr>
          <w:trHeight w:val="420"/>
        </w:trPr>
        <w:tc>
          <w:tcPr>
            <w:tcW w:w="4298" w:type="pct"/>
            <w:tcBorders>
              <w:right w:val="single" w:sz="2" w:space="0" w:color="808080"/>
            </w:tcBorders>
            <w:vAlign w:val="center"/>
          </w:tcPr>
          <w:p w:rsidR="00BA393C" w:rsidRPr="00FC03E5" w:rsidP="00F20EBA" w14:paraId="01F7C826" w14:textId="77777777">
            <w:pPr>
              <w:pStyle w:val="Lists"/>
            </w:pPr>
            <w:r w:rsidRPr="00FC03E5">
              <w:t>Complete a pay equity audit to ensure employees are being paid fairly. This may include:</w:t>
            </w:r>
          </w:p>
          <w:p w:rsidR="00BA393C" w:rsidRPr="00FC03E5" w:rsidP="00BA393C" w14:paraId="19C605DD" w14:textId="77777777">
            <w:pPr>
              <w:pStyle w:val="Lists"/>
              <w:numPr>
                <w:ilvl w:val="0"/>
                <w:numId w:val="6"/>
              </w:numPr>
              <w:spacing w:before="120" w:after="120"/>
            </w:pPr>
            <w:r w:rsidRPr="00FC03E5">
              <w:t>Collecting comprehensive data for each employee</w:t>
            </w:r>
          </w:p>
          <w:p w:rsidR="00BA393C" w:rsidRPr="00FC03E5" w:rsidP="00BA393C" w14:paraId="5CDBC1A2" w14:textId="77777777">
            <w:pPr>
              <w:pStyle w:val="Lists"/>
              <w:numPr>
                <w:ilvl w:val="0"/>
                <w:numId w:val="6"/>
              </w:numPr>
              <w:spacing w:before="120" w:after="120"/>
            </w:pPr>
            <w:r w:rsidRPr="00FC03E5">
              <w:t>Reviewing job descriptions and responsibilities</w:t>
            </w:r>
          </w:p>
          <w:p w:rsidR="00BA393C" w:rsidRPr="00FC03E5" w:rsidP="00BA393C" w14:paraId="75A0463B" w14:textId="4461C8C4">
            <w:pPr>
              <w:pStyle w:val="Lists"/>
              <w:numPr>
                <w:ilvl w:val="0"/>
                <w:numId w:val="6"/>
              </w:numPr>
              <w:spacing w:before="120" w:after="120"/>
            </w:pPr>
            <w:r w:rsidRPr="00FC03E5">
              <w:t>Analysing</w:t>
            </w:r>
            <w:r w:rsidRPr="00FC03E5">
              <w:t xml:space="preserve"> pay data by job grouping</w:t>
            </w:r>
          </w:p>
          <w:p w:rsidR="00BA393C" w:rsidRPr="00FC03E5" w:rsidP="00BA393C" w14:paraId="20B3323B" w14:textId="77777777">
            <w:pPr>
              <w:pStyle w:val="Lists"/>
              <w:numPr>
                <w:ilvl w:val="0"/>
                <w:numId w:val="6"/>
              </w:numPr>
              <w:spacing w:before="120" w:after="120"/>
            </w:pPr>
            <w:r w:rsidRPr="00FC03E5">
              <w:t>Determining whether pay discrepancies exist between men and women (or other demographic groups)</w:t>
            </w:r>
          </w:p>
          <w:p w:rsidR="00BA393C" w:rsidRPr="00FC03E5" w:rsidP="00BA393C" w14:paraId="159AD163" w14:textId="77777777">
            <w:pPr>
              <w:pStyle w:val="Lists"/>
              <w:numPr>
                <w:ilvl w:val="0"/>
                <w:numId w:val="6"/>
              </w:numPr>
              <w:spacing w:before="120" w:after="120"/>
            </w:pPr>
            <w:r w:rsidRPr="00FC03E5">
              <w:t xml:space="preserve">Identifying the reason for pay </w:t>
            </w:r>
            <w:r w:rsidRPr="00FC03E5">
              <w:t>differences, if</w:t>
            </w:r>
            <w:r w:rsidRPr="00FC03E5">
              <w:t xml:space="preserve"> any</w:t>
            </w:r>
          </w:p>
          <w:p w:rsidR="00BA393C" w:rsidRPr="00FC03E5" w:rsidP="00BA393C" w14:paraId="6F5F6F2C" w14:textId="77777777">
            <w:pPr>
              <w:pStyle w:val="Lists"/>
              <w:numPr>
                <w:ilvl w:val="0"/>
                <w:numId w:val="6"/>
              </w:numPr>
              <w:spacing w:before="120" w:after="120"/>
            </w:pPr>
            <w:r w:rsidRPr="00FC03E5">
              <w:t xml:space="preserve">Establishing if there are any legal and legitimate reasons for pay </w:t>
            </w:r>
            <w:r w:rsidRPr="00FC03E5">
              <w:t>differences</w:t>
            </w:r>
          </w:p>
          <w:p w:rsidR="00BA393C" w:rsidRPr="00FC03E5" w:rsidP="00BA393C" w14:paraId="3B38CB45" w14:textId="77777777">
            <w:pPr>
              <w:pStyle w:val="Lists"/>
              <w:numPr>
                <w:ilvl w:val="0"/>
                <w:numId w:val="6"/>
              </w:numPr>
              <w:spacing w:before="120" w:after="120"/>
            </w:pPr>
            <w:r w:rsidRPr="00FC03E5">
              <w:t xml:space="preserve">Creating a plan to address illegitimate pay </w:t>
            </w:r>
            <w:r w:rsidRPr="00FC03E5">
              <w:t>differences</w:t>
            </w:r>
            <w:r w:rsidRPr="00FC03E5">
              <w:t xml:space="preserve"> </w:t>
            </w:r>
          </w:p>
          <w:p w:rsidR="00BA393C" w:rsidRPr="00FC03E5" w:rsidP="00BA393C" w14:paraId="0CDAD948" w14:textId="77777777">
            <w:pPr>
              <w:pStyle w:val="Lists"/>
              <w:numPr>
                <w:ilvl w:val="0"/>
                <w:numId w:val="6"/>
              </w:numPr>
              <w:spacing w:before="120" w:after="120"/>
            </w:pPr>
            <w:r w:rsidRPr="00FC03E5">
              <w:t>Ensuring recruitment and hiring processes are equitable and transparent</w:t>
            </w:r>
          </w:p>
        </w:tc>
        <w:sdt>
          <w:sdtPr>
            <w:rPr>
              <w:lang w:val="en-GB"/>
            </w:rPr>
            <w:id w:val="1262795333"/>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42CE5002" w14:textId="77777777">
                <w:pPr>
                  <w:jc w:val="center"/>
                  <w:rPr>
                    <w:lang w:val="en-GB"/>
                  </w:rPr>
                </w:pPr>
                <w:r w:rsidRPr="00FC03E5">
                  <w:rPr>
                    <w:rFonts w:ascii="MS Gothic" w:eastAsia="MS Gothic" w:hAnsi="MS Gothic" w:cs="MS Gothic"/>
                    <w:lang w:val="en-GB"/>
                  </w:rPr>
                  <w:t>☐</w:t>
                </w:r>
              </w:p>
            </w:tc>
          </w:sdtContent>
        </w:sdt>
      </w:tr>
      <w:tr w14:paraId="1B4D40C9" w14:textId="77777777" w:rsidTr="000D5E5C">
        <w:tblPrEx>
          <w:tblW w:w="5034" w:type="pct"/>
          <w:tblLook w:val="01E0"/>
        </w:tblPrEx>
        <w:trPr>
          <w:trHeight w:val="420"/>
        </w:trPr>
        <w:tc>
          <w:tcPr>
            <w:tcW w:w="4298" w:type="pct"/>
            <w:tcBorders>
              <w:right w:val="single" w:sz="2" w:space="0" w:color="808080"/>
            </w:tcBorders>
          </w:tcPr>
          <w:p w:rsidR="00BA393C" w:rsidRPr="00FC03E5" w:rsidP="00F20EBA" w14:paraId="5A128DE5" w14:textId="546ABEA9">
            <w:pPr>
              <w:pStyle w:val="Lists"/>
            </w:pPr>
            <w:r w:rsidRPr="00FC03E5">
              <w:t>Priorit</w:t>
            </w:r>
            <w:r w:rsidRPr="00FC03E5" w:rsidR="00A426F7">
              <w:t>ise</w:t>
            </w:r>
            <w:r w:rsidRPr="00FC03E5">
              <w:t xml:space="preserve"> salary adjustments for employees whose pay differences are based on biased or subjective criteria.</w:t>
            </w:r>
          </w:p>
        </w:tc>
        <w:sdt>
          <w:sdtPr>
            <w:rPr>
              <w:lang w:val="en-GB"/>
            </w:rPr>
            <w:id w:val="27998677"/>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14DA71D2" w14:textId="77777777">
                <w:pPr>
                  <w:jc w:val="center"/>
                  <w:rPr>
                    <w:lang w:val="en-GB"/>
                  </w:rPr>
                </w:pPr>
                <w:r w:rsidRPr="00FC03E5">
                  <w:rPr>
                    <w:rFonts w:ascii="MS Gothic" w:eastAsia="MS Gothic" w:hAnsi="MS Gothic" w:hint="eastAsia"/>
                    <w:lang w:val="en-GB"/>
                  </w:rPr>
                  <w:t>☐</w:t>
                </w:r>
              </w:p>
            </w:tc>
          </w:sdtContent>
        </w:sdt>
      </w:tr>
      <w:tr w14:paraId="0D79FD21" w14:textId="77777777" w:rsidTr="000D5E5C">
        <w:tblPrEx>
          <w:tblW w:w="5034" w:type="pct"/>
          <w:tblLook w:val="01E0"/>
        </w:tblPrEx>
        <w:trPr>
          <w:trHeight w:val="420"/>
        </w:trPr>
        <w:tc>
          <w:tcPr>
            <w:tcW w:w="4298" w:type="pct"/>
            <w:tcBorders>
              <w:right w:val="single" w:sz="2" w:space="0" w:color="808080"/>
            </w:tcBorders>
          </w:tcPr>
          <w:p w:rsidR="00BA393C" w:rsidRPr="00FC03E5" w:rsidP="00F20EBA" w14:paraId="7DBB1B09" w14:textId="3759AAC4">
            <w:pPr>
              <w:pStyle w:val="Lists"/>
            </w:pPr>
            <w:r w:rsidRPr="00FC03E5">
              <w:t>Monitor and regularly evaluate the organ</w:t>
            </w:r>
            <w:r w:rsidRPr="00FC03E5" w:rsidR="007F7C42">
              <w:t>isation</w:t>
            </w:r>
            <w:r w:rsidRPr="00FC03E5">
              <w:t>’s pay equity plan or initiatives.</w:t>
            </w:r>
          </w:p>
        </w:tc>
        <w:sdt>
          <w:sdtPr>
            <w:rPr>
              <w:lang w:val="en-GB"/>
            </w:rPr>
            <w:id w:val="-100573283"/>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F20EBA" w14:paraId="0E091512" w14:textId="77777777">
                <w:pPr>
                  <w:jc w:val="center"/>
                  <w:rPr>
                    <w:lang w:val="en-GB"/>
                  </w:rPr>
                </w:pPr>
                <w:r w:rsidRPr="00FC03E5">
                  <w:rPr>
                    <w:rFonts w:ascii="MS Gothic" w:eastAsia="MS Gothic" w:hAnsi="MS Gothic" w:cs="MS Gothic"/>
                    <w:lang w:val="en-GB"/>
                  </w:rPr>
                  <w:t>☐</w:t>
                </w:r>
              </w:p>
            </w:tc>
          </w:sdtContent>
        </w:sdt>
      </w:tr>
    </w:tbl>
    <w:p w:rsidR="00BA393C" w:rsidRPr="00FC03E5" w:rsidP="00BA393C" w14:paraId="1BF08733" w14:textId="5B6E5CB2">
      <w:pPr>
        <w:pStyle w:val="Lists"/>
        <w:rPr>
          <w:sz w:val="22"/>
        </w:rPr>
      </w:pPr>
      <w:r w:rsidRPr="00FC03E5">
        <w:rPr>
          <w:sz w:val="22"/>
        </w:rPr>
        <w:t>Temporary-to-permanent hiring allows employers to hire workers temporarily for a trial employment period before hiring decisions are final</w:t>
      </w:r>
      <w:r w:rsidRPr="00FC03E5" w:rsidR="00A426F7">
        <w:rPr>
          <w:sz w:val="22"/>
        </w:rPr>
        <w:t>ise</w:t>
      </w:r>
      <w:r w:rsidRPr="00FC03E5">
        <w:rPr>
          <w:sz w:val="22"/>
        </w:rPr>
        <w:t xml:space="preserve">d. This enables employers to fill positions without committing to permanent employment, reducing the risk of poor hiring decisions. Review the following </w:t>
      </w:r>
      <w:r w:rsidRPr="00FC03E5" w:rsidR="00A66E71">
        <w:rPr>
          <w:sz w:val="22"/>
        </w:rPr>
        <w:t>check</w:t>
      </w:r>
      <w:r w:rsidRPr="00FC03E5">
        <w:rPr>
          <w:sz w:val="22"/>
        </w:rPr>
        <w:t>list when util</w:t>
      </w:r>
      <w:r w:rsidRPr="00FC03E5" w:rsidR="007F7C42">
        <w:rPr>
          <w:sz w:val="22"/>
        </w:rPr>
        <w:t>ising</w:t>
      </w:r>
      <w:r w:rsidRPr="00FC03E5">
        <w:rPr>
          <w:sz w:val="22"/>
        </w:rPr>
        <w:t xml:space="preserve"> temporary-to-permanent hiring to improve hiring outcomes:</w:t>
      </w:r>
    </w:p>
    <w:tbl>
      <w:tblPr>
        <w:tblpPr w:leftFromText="180" w:rightFromText="180" w:vertAnchor="text" w:horzAnchor="margin" w:tblpY="209"/>
        <w:tblW w:w="5071"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7869"/>
        <w:gridCol w:w="1285"/>
      </w:tblGrid>
      <w:tr w14:paraId="11579842" w14:textId="77777777" w:rsidTr="000D5E5C">
        <w:tblPrEx>
          <w:tblW w:w="5071"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52"/>
        </w:trPr>
        <w:tc>
          <w:tcPr>
            <w:tcW w:w="4298" w:type="pct"/>
            <w:tcBorders>
              <w:top w:val="nil"/>
              <w:left w:val="nil"/>
              <w:right w:val="nil"/>
            </w:tcBorders>
            <w:shd w:val="clear" w:color="auto" w:fill="474747"/>
            <w:vAlign w:val="center"/>
          </w:tcPr>
          <w:p w:rsidR="00BA393C" w:rsidRPr="00FC03E5" w:rsidP="00D108CF" w14:paraId="757F6972" w14:textId="77777777">
            <w:pPr>
              <w:spacing w:after="120" w:line="280" w:lineRule="atLeast"/>
              <w:rPr>
                <w:rFonts w:asciiTheme="majorHAnsi" w:hAnsiTheme="majorHAnsi" w:cstheme="majorHAnsi"/>
                <w:b/>
                <w:color w:val="FFFFFF" w:themeColor="background1"/>
                <w:sz w:val="22"/>
                <w:szCs w:val="18"/>
                <w:lang w:val="en-GB"/>
              </w:rPr>
            </w:pPr>
            <w:r w:rsidRPr="00FC03E5">
              <w:rPr>
                <w:rFonts w:asciiTheme="majorHAnsi" w:hAnsiTheme="majorHAnsi" w:cstheme="majorHAnsi"/>
                <w:b/>
                <w:color w:val="FFFFFF" w:themeColor="background1"/>
                <w:sz w:val="22"/>
                <w:szCs w:val="18"/>
                <w:lang w:val="en-GB"/>
              </w:rPr>
              <w:t>Temporary-to-Permanent Hiring</w:t>
            </w:r>
          </w:p>
        </w:tc>
        <w:tc>
          <w:tcPr>
            <w:tcW w:w="702" w:type="pct"/>
            <w:tcBorders>
              <w:top w:val="nil"/>
              <w:left w:val="nil"/>
              <w:bottom w:val="single" w:sz="2" w:space="0" w:color="808080"/>
              <w:right w:val="nil"/>
            </w:tcBorders>
            <w:shd w:val="clear" w:color="auto" w:fill="474747"/>
          </w:tcPr>
          <w:p w:rsidR="00BA393C" w:rsidRPr="00FC03E5" w:rsidP="00D108CF" w14:paraId="33FD23EA" w14:textId="77777777">
            <w:pPr>
              <w:spacing w:before="60" w:after="120" w:line="280" w:lineRule="atLeast"/>
              <w:jc w:val="center"/>
              <w:rPr>
                <w:rFonts w:asciiTheme="majorHAnsi" w:hAnsiTheme="majorHAnsi" w:cstheme="majorHAnsi"/>
                <w:b/>
                <w:color w:val="FFFFFF" w:themeColor="background1"/>
                <w:sz w:val="22"/>
                <w:szCs w:val="18"/>
                <w:lang w:val="en-GB"/>
              </w:rPr>
            </w:pPr>
            <w:r w:rsidRPr="00FC03E5">
              <w:rPr>
                <w:rFonts w:asciiTheme="majorHAnsi" w:hAnsiTheme="majorHAnsi" w:cstheme="majorHAnsi"/>
                <w:b/>
                <w:color w:val="FFFFFF" w:themeColor="background1"/>
                <w:sz w:val="22"/>
                <w:szCs w:val="18"/>
                <w:lang w:val="en-GB"/>
              </w:rPr>
              <w:t>Completed</w:t>
            </w:r>
          </w:p>
        </w:tc>
      </w:tr>
      <w:tr w14:paraId="0F07D2E3" w14:textId="77777777" w:rsidTr="000D5E5C">
        <w:tblPrEx>
          <w:tblW w:w="5071" w:type="pct"/>
          <w:tblLook w:val="01E0"/>
        </w:tblPrEx>
        <w:trPr>
          <w:trHeight w:val="484"/>
        </w:trPr>
        <w:tc>
          <w:tcPr>
            <w:tcW w:w="4298" w:type="pct"/>
            <w:tcBorders>
              <w:right w:val="single" w:sz="2" w:space="0" w:color="808080"/>
            </w:tcBorders>
            <w:vAlign w:val="center"/>
          </w:tcPr>
          <w:p w:rsidR="00BA393C" w:rsidRPr="00FC03E5" w:rsidP="00D108CF" w14:paraId="6878E40E" w14:textId="7A8007AC">
            <w:pPr>
              <w:pStyle w:val="Lists"/>
            </w:pPr>
            <w:r w:rsidRPr="00FC03E5">
              <w:t xml:space="preserve">Establish a </w:t>
            </w:r>
            <w:r w:rsidRPr="00FC03E5" w:rsidR="007F7C42">
              <w:t>programme</w:t>
            </w:r>
            <w:r w:rsidRPr="00FC03E5">
              <w:t xml:space="preserve"> for hiring workers temporarily to fill positions without committing to permanent employment.</w:t>
            </w:r>
          </w:p>
        </w:tc>
        <w:sdt>
          <w:sdtPr>
            <w:rPr>
              <w:lang w:val="en-GB"/>
            </w:rPr>
            <w:id w:val="929857618"/>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D108CF" w14:paraId="00D1E341" w14:textId="77777777">
                <w:pPr>
                  <w:jc w:val="center"/>
                  <w:rPr>
                    <w:lang w:val="en-GB"/>
                  </w:rPr>
                </w:pPr>
                <w:r w:rsidRPr="00FC03E5">
                  <w:rPr>
                    <w:rFonts w:ascii="MS Gothic" w:eastAsia="MS Gothic" w:hAnsi="MS Gothic" w:hint="eastAsia"/>
                    <w:lang w:val="en-GB"/>
                  </w:rPr>
                  <w:t>☐</w:t>
                </w:r>
              </w:p>
            </w:tc>
          </w:sdtContent>
        </w:sdt>
      </w:tr>
      <w:tr w14:paraId="09F84EC8" w14:textId="77777777" w:rsidTr="000D5E5C">
        <w:tblPrEx>
          <w:tblW w:w="5071" w:type="pct"/>
          <w:tblLook w:val="01E0"/>
        </w:tblPrEx>
        <w:trPr>
          <w:trHeight w:val="484"/>
        </w:trPr>
        <w:tc>
          <w:tcPr>
            <w:tcW w:w="4298" w:type="pct"/>
            <w:tcBorders>
              <w:right w:val="single" w:sz="2" w:space="0" w:color="808080"/>
            </w:tcBorders>
            <w:vAlign w:val="center"/>
          </w:tcPr>
          <w:p w:rsidR="00BA393C" w:rsidRPr="00FC03E5" w:rsidP="00D108CF" w14:paraId="3A3210A1" w14:textId="09F65C48">
            <w:pPr>
              <w:pStyle w:val="Lists"/>
            </w:pPr>
            <w:r w:rsidRPr="00FC03E5">
              <w:t>Designate a trial employment period for job candidates before hiring decisions are final</w:t>
            </w:r>
            <w:r w:rsidRPr="00FC03E5" w:rsidR="00A426F7">
              <w:t>ise</w:t>
            </w:r>
            <w:r w:rsidRPr="00FC03E5">
              <w:t>d.</w:t>
            </w:r>
          </w:p>
        </w:tc>
        <w:sdt>
          <w:sdtPr>
            <w:rPr>
              <w:lang w:val="en-GB"/>
            </w:rPr>
            <w:id w:val="521054750"/>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D108CF" w14:paraId="2DB4BE61" w14:textId="77777777">
                <w:pPr>
                  <w:jc w:val="center"/>
                  <w:rPr>
                    <w:lang w:val="en-GB"/>
                  </w:rPr>
                </w:pPr>
                <w:r w:rsidRPr="00FC03E5">
                  <w:rPr>
                    <w:rFonts w:ascii="MS Gothic" w:eastAsia="MS Gothic" w:hAnsi="MS Gothic" w:hint="eastAsia"/>
                    <w:lang w:val="en-GB"/>
                  </w:rPr>
                  <w:t>☐</w:t>
                </w:r>
              </w:p>
            </w:tc>
          </w:sdtContent>
        </w:sdt>
      </w:tr>
      <w:tr w14:paraId="1FF8F1D2" w14:textId="77777777" w:rsidTr="000D5E5C">
        <w:tblPrEx>
          <w:tblW w:w="5071" w:type="pct"/>
          <w:tblLook w:val="01E0"/>
        </w:tblPrEx>
        <w:trPr>
          <w:trHeight w:val="484"/>
        </w:trPr>
        <w:tc>
          <w:tcPr>
            <w:tcW w:w="4298" w:type="pct"/>
            <w:tcBorders>
              <w:right w:val="single" w:sz="2" w:space="0" w:color="808080"/>
            </w:tcBorders>
            <w:vAlign w:val="center"/>
          </w:tcPr>
          <w:p w:rsidR="00BA393C" w:rsidRPr="00FC03E5" w:rsidP="00D108CF" w14:paraId="15F30355" w14:textId="77777777">
            <w:pPr>
              <w:pStyle w:val="Lists"/>
            </w:pPr>
            <w:r w:rsidRPr="00FC03E5">
              <w:t>Establish clear expectations so temporary workers know what they must do to be offered permanent employment. This can help establish trust and motivate temporary hires to work hard.</w:t>
            </w:r>
          </w:p>
        </w:tc>
        <w:sdt>
          <w:sdtPr>
            <w:rPr>
              <w:lang w:val="en-GB"/>
            </w:rPr>
            <w:id w:val="-1231227726"/>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D108CF" w14:paraId="26D3A1F5" w14:textId="3D5B23A4">
                <w:pPr>
                  <w:jc w:val="center"/>
                  <w:rPr>
                    <w:lang w:val="en-GB"/>
                  </w:rPr>
                </w:pPr>
                <w:r w:rsidRPr="00FC03E5">
                  <w:rPr>
                    <w:rFonts w:ascii="MS Gothic" w:eastAsia="MS Gothic" w:hAnsi="MS Gothic" w:hint="eastAsia"/>
                    <w:lang w:val="en-GB"/>
                  </w:rPr>
                  <w:t>☐</w:t>
                </w:r>
              </w:p>
            </w:tc>
          </w:sdtContent>
        </w:sdt>
      </w:tr>
      <w:tr w14:paraId="406614FC" w14:textId="77777777" w:rsidTr="000D5E5C">
        <w:tblPrEx>
          <w:tblW w:w="5071" w:type="pct"/>
          <w:tblLook w:val="01E0"/>
        </w:tblPrEx>
        <w:trPr>
          <w:trHeight w:val="484"/>
        </w:trPr>
        <w:tc>
          <w:tcPr>
            <w:tcW w:w="4298" w:type="pct"/>
            <w:tcBorders>
              <w:right w:val="single" w:sz="2" w:space="0" w:color="808080"/>
            </w:tcBorders>
            <w:vAlign w:val="center"/>
          </w:tcPr>
          <w:p w:rsidR="00BA393C" w:rsidRPr="006A0AEC" w:rsidP="00D108CF" w14:paraId="2C61D983" w14:textId="7ABCB71C">
            <w:pPr>
              <w:pStyle w:val="Lists"/>
            </w:pPr>
            <w:r w:rsidRPr="006A0AEC">
              <w:rPr>
                <w:rStyle w:val="cf01"/>
                <w:rFonts w:asciiTheme="majorHAnsi" w:hAnsiTheme="majorHAnsi" w:cstheme="majorHAnsi"/>
                <w:color w:val="000000" w:themeColor="text1"/>
              </w:rPr>
              <w:t>Determine whether any temporary workers align with the organ</w:t>
            </w:r>
            <w:r w:rsidRPr="006A0AEC" w:rsidR="007F7C42">
              <w:rPr>
                <w:rStyle w:val="cf01"/>
                <w:rFonts w:asciiTheme="majorHAnsi" w:hAnsiTheme="majorHAnsi" w:cstheme="majorHAnsi"/>
                <w:color w:val="000000" w:themeColor="text1"/>
              </w:rPr>
              <w:t>isation</w:t>
            </w:r>
            <w:r w:rsidRPr="006A0AEC">
              <w:rPr>
                <w:rStyle w:val="cf01"/>
                <w:rFonts w:asciiTheme="majorHAnsi" w:hAnsiTheme="majorHAnsi" w:cstheme="majorHAnsi"/>
                <w:color w:val="000000" w:themeColor="text1"/>
              </w:rPr>
              <w:t>’s goals and will be a good long-term fit.</w:t>
            </w:r>
          </w:p>
        </w:tc>
        <w:sdt>
          <w:sdtPr>
            <w:rPr>
              <w:lang w:val="en-GB"/>
            </w:rPr>
            <w:id w:val="-687134934"/>
            <w14:checkbox>
              <w14:checked w14:val="0"/>
              <w14:checkedState w14:val="2612" w14:font="MS Gothic"/>
              <w14:uncheckedState w14:val="2610" w14:font="MS Gothic"/>
            </w14:checkbox>
          </w:sdtPr>
          <w:sdtContent>
            <w:tc>
              <w:tcPr>
                <w:tcW w:w="702" w:type="pct"/>
                <w:tcBorders>
                  <w:left w:val="single" w:sz="2" w:space="0" w:color="808080"/>
                </w:tcBorders>
                <w:vAlign w:val="center"/>
              </w:tcPr>
              <w:p w:rsidR="00BA393C" w:rsidRPr="00FC03E5" w:rsidP="00D108CF" w14:paraId="40E2305C" w14:textId="77777777">
                <w:pPr>
                  <w:jc w:val="center"/>
                  <w:rPr>
                    <w:lang w:val="en-GB"/>
                  </w:rPr>
                </w:pPr>
                <w:r w:rsidRPr="00FC03E5">
                  <w:rPr>
                    <w:rFonts w:ascii="MS Gothic" w:eastAsia="MS Gothic" w:hAnsi="MS Gothic" w:cs="MS Gothic"/>
                    <w:lang w:val="en-GB"/>
                  </w:rPr>
                  <w:t>☐</w:t>
                </w:r>
              </w:p>
            </w:tc>
          </w:sdtContent>
        </w:sdt>
      </w:tr>
    </w:tbl>
    <w:p w:rsidR="00BA393C" w:rsidRPr="00FC03E5" w:rsidP="00BA393C" w14:paraId="273FE00A" w14:textId="77777777">
      <w:pPr>
        <w:pStyle w:val="Lists"/>
        <w:rPr>
          <w:sz w:val="22"/>
        </w:rPr>
      </w:pPr>
    </w:p>
    <w:p w:rsidR="00BA393C" w:rsidRPr="00A426F7" w:rsidP="00BA393C" w14:paraId="5882A6F7" w14:textId="34EAA802">
      <w:pPr>
        <w:pStyle w:val="Lists"/>
        <w:rPr>
          <w:sz w:val="22"/>
        </w:rPr>
      </w:pPr>
      <w:r w:rsidRPr="00FC03E5">
        <w:rPr>
          <w:sz w:val="22"/>
        </w:rPr>
        <w:t xml:space="preserve">Use these </w:t>
      </w:r>
      <w:r w:rsidRPr="00FC03E5" w:rsidR="00A66E71">
        <w:rPr>
          <w:sz w:val="22"/>
        </w:rPr>
        <w:t>check</w:t>
      </w:r>
      <w:r w:rsidRPr="00FC03E5">
        <w:rPr>
          <w:sz w:val="22"/>
        </w:rPr>
        <w:t>lists to assess and improve the hiring process at your organ</w:t>
      </w:r>
      <w:r w:rsidRPr="00FC03E5" w:rsidR="007F7C42">
        <w:rPr>
          <w:sz w:val="22"/>
        </w:rPr>
        <w:t>isation</w:t>
      </w:r>
      <w:r w:rsidRPr="00FC03E5">
        <w:rPr>
          <w:sz w:val="22"/>
        </w:rPr>
        <w:t xml:space="preserve"> for more successful hiring outcomes. For more workplace resources, contact </w:t>
      </w:r>
      <w:r w:rsidRPr="00FC03E5" w:rsidR="004F0977">
        <w:rPr>
          <w:sz w:val="22"/>
        </w:rPr>
        <w:t>us</w:t>
      </w:r>
      <w:r w:rsidRPr="00FC03E5">
        <w:rPr>
          <w:sz w:val="22"/>
        </w:rPr>
        <w:t xml:space="preserve"> today.</w:t>
      </w:r>
    </w:p>
    <w:p w:rsidR="00BA393C" w:rsidRPr="00A426F7" w:rsidP="00BA393C" w14:paraId="274C2893" w14:textId="77777777">
      <w:pPr>
        <w:pStyle w:val="Lists"/>
      </w:pPr>
    </w:p>
    <w:p w:rsidR="009D4713" w:rsidRPr="00A426F7" w:rsidP="00BA393C" w14:paraId="7DAF3653" w14:textId="77777777">
      <w:pPr>
        <w:rPr>
          <w:lang w:val="en-GB"/>
        </w:rPr>
      </w:pPr>
    </w:p>
    <w:sectPr w:rsidSect="00A9170F">
      <w:headerReference w:type="default" r:id="rId9"/>
      <w:pgSz w:w="11906" w:h="16838" w:code="9"/>
      <w:pgMar w:top="172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93C" w:rsidRPr="00100A27" w:rsidP="00100A27" w14:paraId="7BB3845C" w14:textId="4A3BE234">
    <w:pPr>
      <w:pStyle w:val="Footer"/>
      <w:tabs>
        <w:tab w:val="right" w:pos="9090"/>
      </w:tabs>
      <w:rPr>
        <w:rFonts w:ascii="Arial" w:hAnsi="Arial" w:cs="Arial"/>
        <w:i/>
        <w:sz w:val="16"/>
        <w:szCs w:val="16"/>
        <w:lang w:val="en-CA"/>
      </w:rPr>
    </w:pPr>
    <w:r w:rsidRPr="002C3FF5">
      <w:rPr>
        <w:rFonts w:ascii="Arial" w:hAnsi="Arial" w:cs="Arial"/>
        <w:i/>
        <w:sz w:val="16"/>
        <w:szCs w:val="16"/>
        <w:lang w:val="en-CA"/>
      </w:rPr>
      <w:t xml:space="preserve">This checklist is of general interest and is not intended to apply to specific circumstances. It does not purport to be a comprehensive analysis of all matters relevant to its subject matter. The content should not, therefore, be regarded as constituting legal advice and not be relied upon as such. In relation to any </w:t>
    </w:r>
    <w:r w:rsidRPr="002C3FF5">
      <w:rPr>
        <w:rFonts w:ascii="Arial" w:hAnsi="Arial" w:cs="Arial"/>
        <w:i/>
        <w:sz w:val="16"/>
        <w:szCs w:val="16"/>
        <w:lang w:val="en-CA"/>
      </w:rPr>
      <w:t>particular problem</w:t>
    </w:r>
    <w:r w:rsidRPr="002C3FF5">
      <w:rPr>
        <w:rFonts w:ascii="Arial" w:hAnsi="Arial" w:cs="Arial"/>
        <w:i/>
        <w:sz w:val="16"/>
        <w:szCs w:val="16"/>
        <w:lang w:val="en-CA"/>
      </w:rPr>
      <w:t xml:space="preserve"> which they may have, readers are advised to seek specific advice. Further, the law may have changed since first publication and the reader is cautioned accordingly. © 2023 </w:t>
    </w:r>
    <w:r w:rsidRPr="002C3FF5">
      <w:rPr>
        <w:rFonts w:ascii="Arial" w:hAnsi="Arial" w:cs="Arial"/>
        <w:i/>
        <w:sz w:val="16"/>
        <w:szCs w:val="16"/>
        <w:lang w:val="en-CA"/>
      </w:rPr>
      <w:t>Zywave</w:t>
    </w:r>
    <w:r w:rsidRPr="002C3FF5">
      <w:rPr>
        <w:rFonts w:ascii="Arial" w:hAnsi="Arial" w:cs="Arial"/>
        <w:i/>
        <w:sz w:val="16"/>
        <w:szCs w:val="16"/>
        <w:lang w:val="en-CA"/>
      </w:rPr>
      <w:t>,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93C" w:rsidP="005B613E" w14:paraId="5A2222BA" w14:textId="77777777">
    <w:pPr>
      <w:pStyle w:val="Footer"/>
      <w:tabs>
        <w:tab w:val="right" w:pos="9090"/>
      </w:tabs>
    </w:pPr>
    <w:r>
      <w:tab/>
    </w:r>
  </w:p>
  <w:p w:rsidR="00BA393C" w:rsidP="005B613E" w14:paraId="6A9B308E" w14:textId="77777777">
    <w:pPr>
      <w:pStyle w:val="Footer"/>
      <w:tabs>
        <w:tab w:val="right" w:pos="9090"/>
      </w:tabs>
      <w:rPr>
        <w:rFonts w:ascii="Arial" w:hAnsi="Arial" w:cs="Arial"/>
        <w:i/>
        <w:sz w:val="16"/>
        <w:szCs w:val="16"/>
      </w:rPr>
    </w:pPr>
  </w:p>
  <w:p w:rsidR="00BA393C" w:rsidRPr="005B613E" w:rsidP="005B613E" w14:paraId="5EA2A282" w14:textId="77777777">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w:t>
    </w:r>
    <w:r w:rsidRPr="00203427">
      <w:rPr>
        <w:rFonts w:ascii="Arial" w:hAnsi="Arial" w:cs="Arial"/>
        <w:i/>
        <w:sz w:val="16"/>
        <w:szCs w:val="16"/>
      </w:rPr>
      <w:t>state</w:t>
    </w:r>
    <w:r w:rsidRPr="00203427">
      <w:rPr>
        <w:rFonts w:ascii="Arial" w:hAnsi="Arial" w:cs="Arial"/>
        <w:i/>
        <w:sz w:val="16"/>
        <w:szCs w:val="16"/>
      </w:rPr>
      <w:t xml:space="preserve"> or local standards. Consult your licensed representative at </w:t>
    </w:r>
    <w:r>
      <w:rPr>
        <w:rFonts w:ascii="Arial" w:hAnsi="Arial" w:cs="Arial"/>
        <w:i/>
        <w:sz w:val="16"/>
        <w:szCs w:val="16"/>
      </w:rPr>
      <w:t>RS Risk Solutions Ltd</w:t>
    </w:r>
    <w:r w:rsidRPr="00203427">
      <w:rPr>
        <w:rFonts w:ascii="Arial" w:hAnsi="Arial" w:cs="Arial"/>
        <w:i/>
        <w:sz w:val="16"/>
        <w:szCs w:val="16"/>
      </w:rPr>
      <w:t xml:space="preserve"> 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w:t>
    </w:r>
    <w:r>
      <w:rPr>
        <w:rFonts w:ascii="Arial" w:hAnsi="Arial" w:cs="Arial"/>
        <w:i/>
        <w:sz w:val="16"/>
        <w:szCs w:val="16"/>
      </w:rPr>
      <w:t>3</w:t>
    </w:r>
    <w:r w:rsidRPr="0044504E">
      <w:rPr>
        <w:rFonts w:ascii="Arial" w:hAnsi="Arial" w:cs="Arial"/>
        <w:i/>
        <w:sz w:val="16"/>
        <w:szCs w:val="16"/>
      </w:rPr>
      <w:t xml:space="preserve"> </w:t>
    </w:r>
    <w:r w:rsidRPr="0044504E">
      <w:rPr>
        <w:rFonts w:ascii="Arial" w:hAnsi="Arial" w:cs="Arial"/>
        <w:i/>
        <w:sz w:val="16"/>
        <w:szCs w:val="16"/>
      </w:rPr>
      <w:t>Zywave</w:t>
    </w:r>
    <w:r w:rsidRPr="0044504E">
      <w:rPr>
        <w:rFonts w:ascii="Arial" w:hAnsi="Arial" w:cs="Arial"/>
        <w:i/>
        <w:sz w:val="16"/>
        <w:szCs w:val="16"/>
      </w:rPr>
      <w:t>,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93C" w14:paraId="6EF37354" w14:textId="77777777">
    <w:pPr>
      <w:pStyle w:val="Header"/>
    </w:pPr>
    <w:r w:rsidRPr="00203427">
      <w:rPr>
        <w:noProof/>
        <w:sz w:val="22"/>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739140</wp:posOffset>
              </wp:positionV>
              <wp:extent cx="6096000" cy="311785"/>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393C" w:rsidRPr="006622DC" w:rsidP="008A61D1" w14:textId="77777777">
                          <w:pPr>
                            <w:rPr>
                              <w:rFonts w:ascii="Calibri Light" w:hAnsi="Calibri Light" w:cs="Calibri Light"/>
                              <w:sz w:val="20"/>
                            </w:rPr>
                          </w:pPr>
                          <w:r w:rsidRPr="006622DC">
                            <w:rPr>
                              <w:rFonts w:ascii="Calibri Light" w:hAnsi="Calibri Light" w:cs="Calibri Light"/>
                              <w:sz w:val="20"/>
                            </w:rPr>
                            <w:t xml:space="preserve">Presented by </w:t>
                          </w:r>
                          <w:r>
                            <w:rPr>
                              <w:rFonts w:ascii="Calibri Light" w:hAnsi="Calibri Light" w:cs="Calibri Light"/>
                              <w:sz w:val="20"/>
                            </w:rPr>
                            <w:t>RS Risk Solutions Ltd</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80pt;height:24.55pt;margin-top:58.2pt;margin-left:0;mso-height-percent:0;mso-height-relative:page;mso-position-horizontal:left;mso-position-horizontal-relative:margin;mso-width-percent:0;mso-width-relative:page;mso-wrap-distance-bottom:0;mso-wrap-distance-left:9pt;mso-wrap-distance-right:9pt;mso-wrap-distance-top:0;position:absolute;v-text-anchor:top;z-index:251668480" filled="f" fillcolor="this" stroked="f">
              <v:textbox>
                <w:txbxContent>
                  <w:p w:rsidR="00BA393C" w:rsidRPr="006622DC" w:rsidP="008A61D1" w14:paraId="2FBD56E3" w14:textId="77777777">
                    <w:pPr>
                      <w:rPr>
                        <w:rFonts w:ascii="Calibri Light" w:hAnsi="Calibri Light" w:cs="Calibri Light"/>
                        <w:sz w:val="20"/>
                      </w:rPr>
                    </w:pPr>
                    <w:r w:rsidRPr="006622DC">
                      <w:rPr>
                        <w:rFonts w:ascii="Calibri Light" w:hAnsi="Calibri Light" w:cs="Calibri Light"/>
                        <w:sz w:val="20"/>
                      </w:rPr>
                      <w:t xml:space="preserve">Presented by </w:t>
                    </w:r>
                    <w:r>
                      <w:rPr>
                        <w:rFonts w:ascii="Calibri Light" w:hAnsi="Calibri Light" w:cs="Calibri Light"/>
                        <w:sz w:val="20"/>
                      </w:rPr>
                      <w:t>RS Risk Solutions Ltd</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3257550</wp:posOffset>
              </wp:positionH>
              <wp:positionV relativeFrom="paragraph">
                <wp:posOffset>-114300</wp:posOffset>
              </wp:positionV>
              <wp:extent cx="2978150" cy="1193370"/>
              <wp:effectExtent l="0" t="0" r="0" b="6985"/>
              <wp:wrapNone/>
              <wp:docPr id="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8150" cy="1193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393C" w:rsidRPr="00885A99" w:rsidP="00624C30" w14:textId="77777777">
                          <w:pPr>
                            <w:spacing w:line="240" w:lineRule="atLeast"/>
                            <w:rPr>
                              <w:rFonts w:ascii="Calibri" w:hAnsi="Calibri" w:cs="Calibri"/>
                              <w:b/>
                              <w:caps/>
                              <w:color w:val="474747"/>
                              <w:sz w:val="48"/>
                              <w:szCs w:val="64"/>
                            </w:rPr>
                          </w:pPr>
                          <w:r>
                            <w:rPr>
                              <w:rFonts w:ascii="Calibri" w:hAnsi="Calibri" w:cs="Calibri"/>
                              <w:b/>
                              <w:caps/>
                              <w:color w:val="474747"/>
                              <w:sz w:val="48"/>
                              <w:szCs w:val="64"/>
                            </w:rPr>
                            <w:t>IMPROVING HIring outcomes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9" o:spid="_x0000_s2050" type="#_x0000_t202" style="width:234.5pt;height:93.95pt;margin-top:-9pt;margin-left:256.5pt;mso-height-percent:0;mso-height-relative:page;mso-position-horizontal-relative:page;mso-width-percent:0;mso-width-relative:page;mso-wrap-distance-bottom:0;mso-wrap-distance-left:9pt;mso-wrap-distance-right:9pt;mso-wrap-distance-top:0;mso-wrap-style:square;position:absolute;v-text-anchor:top;visibility:visible;z-index:251662336" filled="f" stroked="f">
              <v:textbox>
                <w:txbxContent>
                  <w:p w:rsidR="00BA393C" w:rsidRPr="00885A99" w:rsidP="00624C30" w14:paraId="0DBB00E2" w14:textId="77777777">
                    <w:pPr>
                      <w:spacing w:line="240" w:lineRule="atLeast"/>
                      <w:rPr>
                        <w:rFonts w:ascii="Calibri" w:hAnsi="Calibri" w:cs="Calibri"/>
                        <w:b/>
                        <w:caps/>
                        <w:color w:val="474747"/>
                        <w:sz w:val="48"/>
                        <w:szCs w:val="64"/>
                      </w:rPr>
                    </w:pPr>
                    <w:r>
                      <w:rPr>
                        <w:rFonts w:ascii="Calibri" w:hAnsi="Calibri" w:cs="Calibri"/>
                        <w:b/>
                        <w:caps/>
                        <w:color w:val="474747"/>
                        <w:sz w:val="48"/>
                        <w:szCs w:val="64"/>
                      </w:rPr>
                      <w:t>IMPROVING HIring outcomes</w:t>
                    </w:r>
                  </w:p>
                </w:txbxContent>
              </v:textbox>
            </v:shape>
          </w:pict>
        </mc:Fallback>
      </mc:AlternateContent>
    </w: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66202" cy="10050780"/>
          <wp:effectExtent l="0" t="0" r="6350" b="7620"/>
          <wp:wrapNone/>
          <wp:docPr id="1003092633" name="Picture 100309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2633"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93C" w:rsidP="00CC4F85" w14:paraId="1081674B" w14:textId="77777777">
    <w:pPr>
      <w:pStyle w:val="Header"/>
      <w:tabs>
        <w:tab w:val="left" w:pos="1560"/>
        <w:tab w:val="clear" w:pos="4680"/>
        <w:tab w:val="clear" w:pos="9360"/>
      </w:tabs>
    </w:pPr>
    <w:r>
      <w:rPr>
        <w:noProof/>
      </w:rPr>
      <mc:AlternateContent>
        <mc:Choice Requires="wps">
          <w:drawing>
            <wp:anchor distT="0" distB="0" distL="114300" distR="114300" simplePos="0" relativeHeight="251666432" behindDoc="0" locked="0" layoutInCell="1" allowOverlap="1">
              <wp:simplePos x="0" y="0"/>
              <wp:positionH relativeFrom="column">
                <wp:posOffset>588068</wp:posOffset>
              </wp:positionH>
              <wp:positionV relativeFrom="paragraph">
                <wp:posOffset>-180802</wp:posOffset>
              </wp:positionV>
              <wp:extent cx="5532755" cy="335280"/>
              <wp:effectExtent l="0" t="0" r="0" b="7620"/>
              <wp:wrapNone/>
              <wp:docPr id="10"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393C" w:rsidRPr="006622DC" w:rsidP="00CC4F85" w14:textId="77777777">
                          <w:pPr>
                            <w:rPr>
                              <w:rFonts w:ascii="Calibri Light" w:hAnsi="Calibri Light" w:cs="Calibri Light"/>
                              <w:color w:val="474747"/>
                              <w:sz w:val="20"/>
                            </w:rPr>
                          </w:pPr>
                          <w:r>
                            <w:rPr>
                              <w:rFonts w:ascii="Calibri Light" w:hAnsi="Calibri Light" w:cs="Calibri Light"/>
                              <w:color w:val="474747"/>
                              <w:sz w:val="20"/>
                            </w:rPr>
                            <w:t>IMPROVING HIRING OUTCOMES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1" type="#_x0000_t202" style="width:435.65pt;height:26.4pt;margin-top:-14.25pt;margin-left:46.3pt;mso-height-percent:0;mso-height-relative:page;mso-width-percent:0;mso-width-relative:page;mso-wrap-distance-bottom:0;mso-wrap-distance-left:9pt;mso-wrap-distance-right:9pt;mso-wrap-distance-top:0;mso-wrap-style:square;position:absolute;v-text-anchor:top;visibility:visible;z-index:251667456" filled="f" stroked="f">
              <v:textbox>
                <w:txbxContent>
                  <w:p w:rsidR="00BA393C" w:rsidRPr="006622DC" w:rsidP="00CC4F85" w14:paraId="3D29F822" w14:textId="77777777">
                    <w:pPr>
                      <w:rPr>
                        <w:rFonts w:ascii="Calibri Light" w:hAnsi="Calibri Light" w:cs="Calibri Light"/>
                        <w:color w:val="474747"/>
                        <w:sz w:val="20"/>
                      </w:rPr>
                    </w:pPr>
                    <w:r>
                      <w:rPr>
                        <w:rFonts w:ascii="Calibri Light" w:hAnsi="Calibri Light" w:cs="Calibri Light"/>
                        <w:color w:val="474747"/>
                        <w:sz w:val="20"/>
                      </w:rPr>
                      <w:t>IMPROVING HIRING OUTCOMES</w:t>
                    </w:r>
                  </w:p>
                </w:txbxContent>
              </v:textbox>
            </v:shape>
          </w:pict>
        </mc:Fallback>
      </mc:AlternateContent>
    </w:r>
    <w:r>
      <w:rPr>
        <w:noProof/>
      </w:rPr>
      <w:drawing>
        <wp:anchor distT="0" distB="0" distL="114300" distR="114300" simplePos="0" relativeHeight="251665408" behindDoc="1" locked="0" layoutInCell="1" allowOverlap="1">
          <wp:simplePos x="0" y="0"/>
          <wp:positionH relativeFrom="page">
            <wp:align>right</wp:align>
          </wp:positionH>
          <wp:positionV relativeFrom="paragraph">
            <wp:posOffset>-581371</wp:posOffset>
          </wp:positionV>
          <wp:extent cx="7766474" cy="10050780"/>
          <wp:effectExtent l="0" t="0" r="6350" b="7620"/>
          <wp:wrapNone/>
          <wp:docPr id="1288334818" name="Picture 128833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34818"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page">
            <wp:posOffset>-6350</wp:posOffset>
          </wp:positionH>
          <wp:positionV relativeFrom="paragraph">
            <wp:posOffset>-470535</wp:posOffset>
          </wp:positionV>
          <wp:extent cx="7766050" cy="10050780"/>
          <wp:effectExtent l="0" t="0" r="6350" b="7620"/>
          <wp:wrapNone/>
          <wp:docPr id="899199443" name="Picture 89919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99443"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831" w14:paraId="4A10F119"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634365</wp:posOffset>
              </wp:positionH>
              <wp:positionV relativeFrom="paragraph">
                <wp:posOffset>-55245</wp:posOffset>
              </wp:positionV>
              <wp:extent cx="5532755" cy="335280"/>
              <wp:effectExtent l="0" t="0" r="0" b="7620"/>
              <wp:wrapNone/>
              <wp:docPr id="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C9C" w:rsidRPr="0089063F" w14:textId="28565085">
                          <w:pPr>
                            <w:rPr>
                              <w:rFonts w:ascii="Calibri Light" w:hAnsi="Calibri Light" w:cs="Calibri Light"/>
                              <w:color w:val="474747"/>
                              <w:sz w:val="20"/>
                            </w:rPr>
                          </w:pPr>
                          <w:r>
                            <w:rPr>
                              <w:rFonts w:ascii="Calibri Light" w:hAnsi="Calibri Light" w:cs="Calibri Light"/>
                              <w:color w:val="474747"/>
                              <w:sz w:val="20"/>
                            </w:rPr>
                            <w:t>IMPROVING HIRING OUTCOMES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435.65pt;height:26.4pt;margin-top:-4.35pt;margin-left:49.95pt;mso-height-percent:0;mso-height-relative:page;mso-width-percent:0;mso-width-relative:page;mso-wrap-distance-bottom:0;mso-wrap-distance-left:9pt;mso-wrap-distance-right:9pt;mso-wrap-distance-top:0;mso-wrap-style:square;position:absolute;v-text-anchor:top;visibility:visible;z-index:251659264" filled="f" stroked="f">
              <v:textbox>
                <w:txbxContent>
                  <w:p w:rsidR="00761C9C" w:rsidRPr="0089063F" w14:paraId="5C547210" w14:textId="28565085">
                    <w:pPr>
                      <w:rPr>
                        <w:rFonts w:ascii="Calibri Light" w:hAnsi="Calibri Light" w:cs="Calibri Light"/>
                        <w:color w:val="474747"/>
                        <w:sz w:val="20"/>
                      </w:rPr>
                    </w:pPr>
                    <w:r>
                      <w:rPr>
                        <w:rFonts w:ascii="Calibri Light" w:hAnsi="Calibri Light" w:cs="Calibri Light"/>
                        <w:color w:val="474747"/>
                        <w:sz w:val="20"/>
                      </w:rPr>
                      <w:t>IMPROVING HIRING OUTCOMES</w:t>
                    </w:r>
                  </w:p>
                </w:txbxContent>
              </v:textbox>
            </v:shape>
          </w:pict>
        </mc:Fallback>
      </mc:AlternateContent>
    </w:r>
    <w:r>
      <w:rPr>
        <w:noProof/>
      </w:rPr>
      <w:drawing>
        <wp:anchor distT="0" distB="0" distL="114300" distR="114300" simplePos="0" relativeHeight="251660288" behindDoc="1" locked="0" layoutInCell="1" allowOverlap="1">
          <wp:simplePos x="0" y="0"/>
          <wp:positionH relativeFrom="page">
            <wp:align>right</wp:align>
          </wp:positionH>
          <wp:positionV relativeFrom="paragraph">
            <wp:posOffset>-457200</wp:posOffset>
          </wp:positionV>
          <wp:extent cx="7551420" cy="106728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list UK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551420" cy="10672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40F13"/>
    <w:multiLevelType w:val="hybridMultilevel"/>
    <w:tmpl w:val="DFEC1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F5119"/>
    <w:multiLevelType w:val="hybridMultilevel"/>
    <w:tmpl w:val="43765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6A1470"/>
    <w:multiLevelType w:val="hybridMultilevel"/>
    <w:tmpl w:val="29367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56A3F89"/>
    <w:multiLevelType w:val="hybridMultilevel"/>
    <w:tmpl w:val="9D16C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95E38B6"/>
    <w:multiLevelType w:val="hybridMultilevel"/>
    <w:tmpl w:val="9C829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BE92690"/>
    <w:multiLevelType w:val="hybridMultilevel"/>
    <w:tmpl w:val="3A227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45506863">
    <w:abstractNumId w:val="4"/>
  </w:num>
  <w:num w:numId="2" w16cid:durableId="954485493">
    <w:abstractNumId w:val="1"/>
  </w:num>
  <w:num w:numId="3" w16cid:durableId="1442334409">
    <w:abstractNumId w:val="2"/>
  </w:num>
  <w:num w:numId="4" w16cid:durableId="1591158888">
    <w:abstractNumId w:val="5"/>
  </w:num>
  <w:num w:numId="5" w16cid:durableId="1231236795">
    <w:abstractNumId w:val="3"/>
  </w:num>
  <w:num w:numId="6" w16cid:durableId="6353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13"/>
    <w:rsid w:val="0002555A"/>
    <w:rsid w:val="000427C2"/>
    <w:rsid w:val="000951C9"/>
    <w:rsid w:val="000A29D4"/>
    <w:rsid w:val="000A4DC4"/>
    <w:rsid w:val="000B749B"/>
    <w:rsid w:val="000D5E5C"/>
    <w:rsid w:val="000E0E79"/>
    <w:rsid w:val="000E2EC8"/>
    <w:rsid w:val="000E6302"/>
    <w:rsid w:val="000F4444"/>
    <w:rsid w:val="000F7C23"/>
    <w:rsid w:val="00100A27"/>
    <w:rsid w:val="00117F46"/>
    <w:rsid w:val="00137B4B"/>
    <w:rsid w:val="001425EC"/>
    <w:rsid w:val="001B417D"/>
    <w:rsid w:val="00203427"/>
    <w:rsid w:val="00207CC9"/>
    <w:rsid w:val="002604E3"/>
    <w:rsid w:val="00272EEB"/>
    <w:rsid w:val="00291A27"/>
    <w:rsid w:val="002A40EB"/>
    <w:rsid w:val="002B0854"/>
    <w:rsid w:val="002B319E"/>
    <w:rsid w:val="002B5A08"/>
    <w:rsid w:val="002C3FF5"/>
    <w:rsid w:val="002D4646"/>
    <w:rsid w:val="002E7699"/>
    <w:rsid w:val="003067CF"/>
    <w:rsid w:val="00334F8F"/>
    <w:rsid w:val="003678E3"/>
    <w:rsid w:val="003B6CE7"/>
    <w:rsid w:val="003C57FC"/>
    <w:rsid w:val="00440B07"/>
    <w:rsid w:val="0044504E"/>
    <w:rsid w:val="00487CDB"/>
    <w:rsid w:val="0049263E"/>
    <w:rsid w:val="004B70E9"/>
    <w:rsid w:val="004E2D24"/>
    <w:rsid w:val="004F0977"/>
    <w:rsid w:val="00507AA2"/>
    <w:rsid w:val="00531442"/>
    <w:rsid w:val="005570CC"/>
    <w:rsid w:val="00575831"/>
    <w:rsid w:val="005B613E"/>
    <w:rsid w:val="005C2D59"/>
    <w:rsid w:val="005E27B5"/>
    <w:rsid w:val="00613D1A"/>
    <w:rsid w:val="00624C30"/>
    <w:rsid w:val="006622DC"/>
    <w:rsid w:val="00675BC7"/>
    <w:rsid w:val="006A0AEC"/>
    <w:rsid w:val="006B07A0"/>
    <w:rsid w:val="006D4B81"/>
    <w:rsid w:val="00716256"/>
    <w:rsid w:val="00761C9C"/>
    <w:rsid w:val="0077360B"/>
    <w:rsid w:val="007A3EAF"/>
    <w:rsid w:val="007C102E"/>
    <w:rsid w:val="007E1C18"/>
    <w:rsid w:val="007F1F69"/>
    <w:rsid w:val="007F7C42"/>
    <w:rsid w:val="00813031"/>
    <w:rsid w:val="0084157B"/>
    <w:rsid w:val="0088591E"/>
    <w:rsid w:val="00885A99"/>
    <w:rsid w:val="0089063F"/>
    <w:rsid w:val="008A61D1"/>
    <w:rsid w:val="008D6DCD"/>
    <w:rsid w:val="008F5DBD"/>
    <w:rsid w:val="00905D15"/>
    <w:rsid w:val="00910E22"/>
    <w:rsid w:val="00917E93"/>
    <w:rsid w:val="00980A8B"/>
    <w:rsid w:val="009A235D"/>
    <w:rsid w:val="009D4713"/>
    <w:rsid w:val="00A426F7"/>
    <w:rsid w:val="00A50524"/>
    <w:rsid w:val="00A66E71"/>
    <w:rsid w:val="00A9170F"/>
    <w:rsid w:val="00AC67E7"/>
    <w:rsid w:val="00AD3B5B"/>
    <w:rsid w:val="00AF52D9"/>
    <w:rsid w:val="00B70281"/>
    <w:rsid w:val="00B87755"/>
    <w:rsid w:val="00BA393C"/>
    <w:rsid w:val="00BE41A5"/>
    <w:rsid w:val="00C26047"/>
    <w:rsid w:val="00C4556B"/>
    <w:rsid w:val="00C55DC2"/>
    <w:rsid w:val="00C677FB"/>
    <w:rsid w:val="00CA07B4"/>
    <w:rsid w:val="00CC4F85"/>
    <w:rsid w:val="00D108CF"/>
    <w:rsid w:val="00D7777E"/>
    <w:rsid w:val="00DC767B"/>
    <w:rsid w:val="00DE5CC4"/>
    <w:rsid w:val="00E86E0A"/>
    <w:rsid w:val="00EC4328"/>
    <w:rsid w:val="00F20EBA"/>
    <w:rsid w:val="00F472BC"/>
    <w:rsid w:val="00F932EA"/>
    <w:rsid w:val="00FC03E5"/>
    <w:rsid w:val="00FC47E3"/>
  </w:rsids>
  <w:docVars>
    <w:docVar w:name="__Grammarly_42___1" w:val="H4sIAAAAAAAEAKtWcslP9kxRslIyNDY2NjWyNDOyMDIyMTAwMDJQ0lEKTi0uzszPAykwqQUADVvwu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D7EA22"/>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47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eastAsia="Times New Roman" w:asciiTheme="majorHAnsi"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8F5DBD"/>
    <w:rPr>
      <w:rFonts w:asciiTheme="majorHAnsi" w:hAnsiTheme="majorHAnsi" w:cstheme="majorHAnsi"/>
      <w:sz w:val="18"/>
      <w:szCs w:val="18"/>
      <w:lang w:val="en-GB"/>
    </w:rPr>
  </w:style>
  <w:style w:type="character" w:customStyle="1" w:styleId="ListsChar">
    <w:name w:val="Lists Char"/>
    <w:basedOn w:val="DefaultParagraphFont"/>
    <w:link w:val="Lists"/>
    <w:rsid w:val="008F5DBD"/>
    <w:rPr>
      <w:rFonts w:eastAsia="Times New Roman" w:asciiTheme="majorHAnsi" w:hAnsiTheme="majorHAnsi" w:cstheme="majorHAnsi"/>
      <w:sz w:val="18"/>
      <w:szCs w:val="18"/>
      <w:lang w:val="en-GB"/>
    </w:rPr>
  </w:style>
  <w:style w:type="character" w:customStyle="1" w:styleId="cf01">
    <w:name w:val="cf01"/>
    <w:basedOn w:val="DefaultParagraphFont"/>
    <w:rsid w:val="00BA393C"/>
    <w:rPr>
      <w:rFonts w:ascii="Segoe UI" w:hAnsi="Segoe UI" w:cs="Segoe UI" w:hint="default"/>
      <w:sz w:val="18"/>
      <w:szCs w:val="18"/>
    </w:rPr>
  </w:style>
  <w:style w:type="paragraph" w:styleId="Revision">
    <w:name w:val="Revision"/>
    <w:hidden/>
    <w:uiPriority w:val="99"/>
    <w:semiHidden/>
    <w:rsid w:val="00AC67E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427C2"/>
    <w:rPr>
      <w:sz w:val="16"/>
      <w:szCs w:val="16"/>
    </w:rPr>
  </w:style>
  <w:style w:type="paragraph" w:styleId="CommentText">
    <w:name w:val="annotation text"/>
    <w:basedOn w:val="Normal"/>
    <w:link w:val="CommentTextChar"/>
    <w:uiPriority w:val="99"/>
    <w:unhideWhenUsed/>
    <w:rsid w:val="000427C2"/>
    <w:rPr>
      <w:sz w:val="20"/>
      <w:szCs w:val="20"/>
    </w:rPr>
  </w:style>
  <w:style w:type="character" w:customStyle="1" w:styleId="CommentTextChar">
    <w:name w:val="Comment Text Char"/>
    <w:basedOn w:val="DefaultParagraphFont"/>
    <w:link w:val="CommentText"/>
    <w:uiPriority w:val="99"/>
    <w:rsid w:val="000427C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27C2"/>
    <w:rPr>
      <w:b/>
      <w:bCs/>
    </w:rPr>
  </w:style>
  <w:style w:type="character" w:customStyle="1" w:styleId="CommentSubjectChar">
    <w:name w:val="Comment Subject Char"/>
    <w:basedOn w:val="CommentTextChar"/>
    <w:link w:val="CommentSubject"/>
    <w:uiPriority w:val="99"/>
    <w:semiHidden/>
    <w:rsid w:val="000427C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66861-47C5-4342-8F79-58A926116B98}">
  <ds:schemaRefs>
    <ds:schemaRef ds:uri="http://schemas.openxmlformats.org/officeDocument/2006/bibliography"/>
  </ds:schemaRefs>
</ds:datastoreItem>
</file>

<file path=docMetadata/LabelInfo.xml><?xml version="1.0" encoding="utf-8"?>
<clbl:labelList xmlns:clbl="http://schemas.microsoft.com/office/2020/mipLabelMetadata">
  <clbl:label id="{bd0c095f-5d66-4273-a209-64796ae91974}" enabled="0" method="" siteId="{bd0c095f-5d66-4273-a209-64796ae91974}"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Lemner, Morgan</cp:lastModifiedBy>
  <cp:revision>3</cp:revision>
  <dcterms:created xsi:type="dcterms:W3CDTF">2023-08-17T14:26:00Z</dcterms:created>
  <dcterms:modified xsi:type="dcterms:W3CDTF">2023-08-17T14:27:00Z</dcterms:modified>
</cp:coreProperties>
</file>